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B48E" w14:textId="77777777" w:rsidR="001C3BC1" w:rsidRPr="003E28CC" w:rsidRDefault="001C3BC1" w:rsidP="001C3BC1">
      <w:pPr>
        <w:spacing w:after="0"/>
        <w:rPr>
          <w:rFonts w:ascii="Calibri" w:hAnsi="Calibri" w:cs="Calibri"/>
          <w:noProof/>
          <w:lang w:val="en-SG" w:eastAsia="en-SG"/>
        </w:rPr>
      </w:pPr>
      <w:bookmarkStart w:id="0" w:name="_Hlk524444337"/>
      <w:r w:rsidRPr="003E28CC">
        <w:rPr>
          <w:rFonts w:ascii="Calibri" w:hAnsi="Calibri" w:cs="Calibri"/>
          <w:noProof/>
          <w:lang w:val="en-SG" w:eastAsia="en-SG"/>
        </w:rPr>
        <w:t>ELEVENTH MEETING OF PARTNERS OF THE EAST ASIAN – AUSTRALASIAN FLYWAY PARTNERSHIP</w:t>
      </w:r>
    </w:p>
    <w:p w14:paraId="47097C35" w14:textId="77777777" w:rsidR="001C3BC1" w:rsidRDefault="001C3BC1" w:rsidP="001C3BC1">
      <w:pPr>
        <w:spacing w:after="120"/>
        <w:rPr>
          <w:rFonts w:ascii="Calibri" w:hAnsi="Calibri" w:cs="Calibri"/>
          <w:noProof/>
          <w:lang w:val="en-SG" w:eastAsia="en-SG"/>
        </w:rPr>
      </w:pPr>
      <w:r w:rsidRPr="00D0753E">
        <w:rPr>
          <w:rFonts w:ascii="Calibri" w:hAnsi="Calibri" w:cs="Calibri"/>
          <w:noProof/>
          <w:sz w:val="20"/>
          <w:szCs w:val="20"/>
          <w:lang w:val="en-SG" w:eastAsia="en-SG"/>
        </w:rPr>
        <w:drawing>
          <wp:anchor distT="0" distB="0" distL="114300" distR="114300" simplePos="0" relativeHeight="251663360" behindDoc="0" locked="0" layoutInCell="1" allowOverlap="1" wp14:anchorId="554DE7E7" wp14:editId="28C675CA">
            <wp:simplePos x="0" y="0"/>
            <wp:positionH relativeFrom="column">
              <wp:posOffset>5391150</wp:posOffset>
            </wp:positionH>
            <wp:positionV relativeFrom="paragraph">
              <wp:posOffset>57150</wp:posOffset>
            </wp:positionV>
            <wp:extent cx="740410" cy="692150"/>
            <wp:effectExtent l="0" t="0" r="0"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3E28CC">
        <w:rPr>
          <w:rFonts w:ascii="Calibri" w:hAnsi="Calibri" w:cs="Calibri"/>
          <w:noProof/>
          <w:lang w:val="en-SG" w:eastAsia="en-SG"/>
        </w:rPr>
        <w:t>Brisbane, Queensland, Australia, 12-17 March 2023</w:t>
      </w:r>
      <w:r w:rsidRPr="003E28CC" w:rsidDel="009E2455">
        <w:rPr>
          <w:rFonts w:ascii="Calibri" w:hAnsi="Calibri" w:cs="Calibri"/>
          <w:noProof/>
          <w:lang w:val="en-SG" w:eastAsia="en-SG"/>
        </w:rPr>
        <w:t xml:space="preserve"> </w:t>
      </w:r>
    </w:p>
    <w:p w14:paraId="51EEE82D" w14:textId="77777777" w:rsidR="001C3BC1" w:rsidRDefault="001C3BC1" w:rsidP="001C3BC1">
      <w:pPr>
        <w:spacing w:after="120"/>
        <w:jc w:val="center"/>
        <w:rPr>
          <w:rFonts w:ascii="Calibri" w:hAnsi="Calibri" w:cs="Calibri"/>
          <w:noProof/>
          <w:lang w:val="en-SG" w:eastAsia="en-SG"/>
        </w:rPr>
      </w:pPr>
    </w:p>
    <w:p w14:paraId="6D1BBB55" w14:textId="77777777" w:rsidR="00A264F6" w:rsidRDefault="00A264F6"/>
    <w:p w14:paraId="3878372B" w14:textId="19AC0B91" w:rsidR="0006020F" w:rsidRDefault="007E412C" w:rsidP="007E412C">
      <w:pPr>
        <w:tabs>
          <w:tab w:val="left" w:pos="2400"/>
        </w:tabs>
        <w:spacing w:after="120"/>
        <w:rPr>
          <w:b/>
          <w:sz w:val="28"/>
          <w:szCs w:val="28"/>
        </w:rPr>
      </w:pPr>
      <w:r>
        <w:rPr>
          <w:b/>
          <w:sz w:val="28"/>
          <w:szCs w:val="28"/>
        </w:rPr>
        <w:tab/>
      </w:r>
    </w:p>
    <w:p w14:paraId="5C13129A" w14:textId="36E9D950" w:rsidR="007E412C" w:rsidRDefault="001C3BC1" w:rsidP="00C33073">
      <w:pPr>
        <w:spacing w:after="120"/>
        <w:jc w:val="center"/>
        <w:rPr>
          <w:b/>
          <w:sz w:val="28"/>
          <w:szCs w:val="28"/>
        </w:rPr>
      </w:pPr>
      <w:bookmarkStart w:id="1" w:name="_Hlk524439121"/>
      <w:r>
        <w:rPr>
          <w:b/>
          <w:sz w:val="28"/>
          <w:szCs w:val="28"/>
        </w:rPr>
        <w:t xml:space="preserve">Draft </w:t>
      </w:r>
      <w:r w:rsidR="007E412C">
        <w:rPr>
          <w:b/>
          <w:sz w:val="28"/>
          <w:szCs w:val="28"/>
        </w:rPr>
        <w:t>D</w:t>
      </w:r>
      <w:r w:rsidR="00161D31">
        <w:rPr>
          <w:b/>
          <w:sz w:val="28"/>
          <w:szCs w:val="28"/>
        </w:rPr>
        <w:t xml:space="preserve">ocument </w:t>
      </w:r>
      <w:r w:rsidR="002B7E8A">
        <w:rPr>
          <w:b/>
          <w:sz w:val="28"/>
          <w:szCs w:val="28"/>
        </w:rPr>
        <w:t>6</w:t>
      </w:r>
      <w:r w:rsidR="00C33073" w:rsidRPr="00C33073">
        <w:rPr>
          <w:b/>
          <w:sz w:val="28"/>
          <w:szCs w:val="28"/>
        </w:rPr>
        <w:t xml:space="preserve"> </w:t>
      </w:r>
    </w:p>
    <w:p w14:paraId="496E1542" w14:textId="77777777" w:rsidR="001C3BC1" w:rsidRDefault="00161D31" w:rsidP="001C3BC1">
      <w:pPr>
        <w:spacing w:after="0"/>
        <w:jc w:val="center"/>
        <w:rPr>
          <w:b/>
          <w:sz w:val="28"/>
          <w:szCs w:val="28"/>
        </w:rPr>
      </w:pPr>
      <w:r>
        <w:rPr>
          <w:b/>
          <w:sz w:val="28"/>
          <w:szCs w:val="28"/>
        </w:rPr>
        <w:t>Report from the Chair of the Management Committee</w:t>
      </w:r>
      <w:r w:rsidR="001B7D81">
        <w:rPr>
          <w:b/>
          <w:sz w:val="28"/>
          <w:szCs w:val="28"/>
        </w:rPr>
        <w:t xml:space="preserve">, </w:t>
      </w:r>
    </w:p>
    <w:p w14:paraId="6A55C11A" w14:textId="6F2DE475" w:rsidR="00C33073" w:rsidRDefault="001B7D81" w:rsidP="001C3BC1">
      <w:pPr>
        <w:spacing w:after="0"/>
        <w:jc w:val="center"/>
        <w:rPr>
          <w:b/>
          <w:sz w:val="28"/>
          <w:szCs w:val="28"/>
        </w:rPr>
      </w:pPr>
      <w:r>
        <w:rPr>
          <w:b/>
          <w:sz w:val="28"/>
          <w:szCs w:val="28"/>
        </w:rPr>
        <w:t>Technical Sub-Committee, and Financ</w:t>
      </w:r>
      <w:r w:rsidR="00DB5356">
        <w:rPr>
          <w:b/>
          <w:sz w:val="28"/>
          <w:szCs w:val="28"/>
        </w:rPr>
        <w:t>e</w:t>
      </w:r>
      <w:r>
        <w:rPr>
          <w:b/>
          <w:sz w:val="28"/>
          <w:szCs w:val="28"/>
        </w:rPr>
        <w:t xml:space="preserve"> Sub-Committee</w:t>
      </w:r>
    </w:p>
    <w:p w14:paraId="2F6BAAD9" w14:textId="77777777" w:rsidR="001C3BC1" w:rsidRDefault="001C3BC1" w:rsidP="00EC7303">
      <w:pPr>
        <w:spacing w:after="120"/>
        <w:rPr>
          <w:i/>
        </w:rPr>
      </w:pPr>
      <w:bookmarkStart w:id="2" w:name="_Hlk524443747"/>
      <w:bookmarkEnd w:id="0"/>
      <w:bookmarkEnd w:id="1"/>
    </w:p>
    <w:p w14:paraId="65383C44" w14:textId="486D63FA" w:rsidR="00EC7303" w:rsidRDefault="00EC7303" w:rsidP="00EC7303">
      <w:pPr>
        <w:spacing w:after="120"/>
        <w:rPr>
          <w:i/>
        </w:rPr>
      </w:pPr>
      <w:r w:rsidRPr="007E412C">
        <w:rPr>
          <w:i/>
        </w:rPr>
        <w:t>Submitted by</w:t>
      </w:r>
      <w:r w:rsidR="007E412C">
        <w:rPr>
          <w:i/>
        </w:rPr>
        <w:t xml:space="preserve"> </w:t>
      </w:r>
      <w:r w:rsidR="00161D31">
        <w:rPr>
          <w:i/>
        </w:rPr>
        <w:t>the Management Committe</w:t>
      </w:r>
      <w:r w:rsidR="00AE2C47">
        <w:rPr>
          <w:i/>
        </w:rPr>
        <w:t>e</w:t>
      </w:r>
      <w:r w:rsidR="001B7D81">
        <w:rPr>
          <w:i/>
        </w:rPr>
        <w:t xml:space="preserve">, </w:t>
      </w:r>
      <w:r w:rsidR="00AE2C47">
        <w:rPr>
          <w:i/>
        </w:rPr>
        <w:t>Tec</w:t>
      </w:r>
      <w:r w:rsidR="005C067F">
        <w:rPr>
          <w:i/>
        </w:rPr>
        <w:t>hnical Sub</w:t>
      </w:r>
      <w:r w:rsidR="00FC7B69">
        <w:rPr>
          <w:i/>
        </w:rPr>
        <w:t>-</w:t>
      </w:r>
      <w:r w:rsidR="005C067F">
        <w:rPr>
          <w:i/>
        </w:rPr>
        <w:t>Committee</w:t>
      </w:r>
      <w:r w:rsidR="001B7D81">
        <w:rPr>
          <w:i/>
        </w:rPr>
        <w:t>,</w:t>
      </w:r>
      <w:r w:rsidR="005C067F">
        <w:rPr>
          <w:i/>
        </w:rPr>
        <w:t xml:space="preserve"> and Financ</w:t>
      </w:r>
      <w:r w:rsidR="00DB5356">
        <w:rPr>
          <w:i/>
        </w:rPr>
        <w:t>e</w:t>
      </w:r>
      <w:r w:rsidR="005C067F">
        <w:rPr>
          <w:i/>
        </w:rPr>
        <w:t xml:space="preserve"> Sub</w:t>
      </w:r>
      <w:r w:rsidR="00FC7B69">
        <w:rPr>
          <w:i/>
        </w:rPr>
        <w:t>-</w:t>
      </w:r>
      <w:r w:rsidR="005C067F">
        <w:rPr>
          <w:i/>
        </w:rPr>
        <w:t>Committee</w:t>
      </w:r>
    </w:p>
    <w:bookmarkEnd w:id="2"/>
    <w:p w14:paraId="76DDE6B2" w14:textId="0D2A1A2E" w:rsidR="00C33073" w:rsidRDefault="00C33073" w:rsidP="00C33073">
      <w:pPr>
        <w:spacing w:after="120"/>
      </w:pPr>
    </w:p>
    <w:p w14:paraId="331B88E7" w14:textId="77777777" w:rsidR="00894EDF" w:rsidRPr="009A47F8" w:rsidRDefault="00894EDF" w:rsidP="000842C2">
      <w:pPr>
        <w:autoSpaceDE w:val="0"/>
        <w:autoSpaceDN w:val="0"/>
        <w:adjustRightInd w:val="0"/>
        <w:spacing w:after="0"/>
        <w:rPr>
          <w:rFonts w:cstheme="minorHAnsi"/>
          <w:b/>
          <w:bCs/>
          <w:lang w:val="en-GB"/>
        </w:rPr>
      </w:pPr>
      <w:r w:rsidRPr="009A47F8">
        <w:rPr>
          <w:b/>
          <w:lang w:val="en-GB"/>
        </w:rPr>
        <w:t>Introduction</w:t>
      </w:r>
    </w:p>
    <w:p w14:paraId="425FE381" w14:textId="4D91F74D" w:rsidR="00894EDF" w:rsidRPr="009A47F8" w:rsidRDefault="00894EDF" w:rsidP="000842C2">
      <w:pPr>
        <w:autoSpaceDE w:val="0"/>
        <w:autoSpaceDN w:val="0"/>
        <w:adjustRightInd w:val="0"/>
        <w:spacing w:after="0"/>
        <w:rPr>
          <w:rFonts w:cstheme="minorHAnsi"/>
          <w:lang w:val="en-GB"/>
        </w:rPr>
      </w:pPr>
    </w:p>
    <w:p w14:paraId="6E0B7379" w14:textId="6B25359E" w:rsidR="009A47F8" w:rsidRPr="009A47F8" w:rsidRDefault="000842C2" w:rsidP="009A47F8">
      <w:pPr>
        <w:pStyle w:val="Default"/>
        <w:numPr>
          <w:ilvl w:val="0"/>
          <w:numId w:val="7"/>
        </w:numPr>
        <w:ind w:left="426" w:hanging="426"/>
        <w:rPr>
          <w:rFonts w:cstheme="minorHAnsi"/>
          <w:color w:val="auto"/>
          <w:sz w:val="22"/>
          <w:szCs w:val="22"/>
        </w:rPr>
      </w:pPr>
      <w:r w:rsidRPr="009A47F8">
        <w:rPr>
          <w:rFonts w:cstheme="minorHAnsi"/>
          <w:sz w:val="22"/>
          <w:szCs w:val="22"/>
        </w:rPr>
        <w:t xml:space="preserve">The </w:t>
      </w:r>
      <w:r w:rsidR="002A7CA8" w:rsidRPr="009A47F8">
        <w:rPr>
          <w:rFonts w:cstheme="minorHAnsi"/>
          <w:sz w:val="22"/>
          <w:szCs w:val="22"/>
        </w:rPr>
        <w:t xml:space="preserve">establishment of a </w:t>
      </w:r>
      <w:r w:rsidRPr="009A47F8">
        <w:rPr>
          <w:rFonts w:cstheme="minorHAnsi"/>
          <w:sz w:val="22"/>
          <w:szCs w:val="22"/>
        </w:rPr>
        <w:t xml:space="preserve">Management Committee </w:t>
      </w:r>
      <w:r w:rsidR="00EB038D">
        <w:rPr>
          <w:rFonts w:cstheme="minorHAnsi"/>
          <w:sz w:val="22"/>
          <w:szCs w:val="22"/>
        </w:rPr>
        <w:t xml:space="preserve">(MC) </w:t>
      </w:r>
      <w:r w:rsidR="002A7CA8" w:rsidRPr="009A47F8">
        <w:rPr>
          <w:rFonts w:cstheme="minorHAnsi"/>
          <w:sz w:val="22"/>
          <w:szCs w:val="22"/>
        </w:rPr>
        <w:t xml:space="preserve">for </w:t>
      </w:r>
      <w:r w:rsidRPr="009A47F8">
        <w:rPr>
          <w:rFonts w:cstheme="minorHAnsi"/>
          <w:sz w:val="22"/>
          <w:szCs w:val="22"/>
        </w:rPr>
        <w:t xml:space="preserve">the East Asian – Australasian Flyway </w:t>
      </w:r>
      <w:r w:rsidR="00C837EC" w:rsidRPr="009A47F8">
        <w:rPr>
          <w:rFonts w:cstheme="minorHAnsi"/>
          <w:color w:val="auto"/>
          <w:sz w:val="22"/>
          <w:szCs w:val="22"/>
        </w:rPr>
        <w:t>P</w:t>
      </w:r>
      <w:r w:rsidRPr="009A47F8">
        <w:rPr>
          <w:rFonts w:cstheme="minorHAnsi"/>
          <w:color w:val="auto"/>
          <w:sz w:val="22"/>
          <w:szCs w:val="22"/>
        </w:rPr>
        <w:t xml:space="preserve">artnership (EAAFP) </w:t>
      </w:r>
      <w:r w:rsidR="00E73B4C" w:rsidRPr="009A47F8">
        <w:rPr>
          <w:rFonts w:cstheme="minorHAnsi"/>
          <w:color w:val="auto"/>
          <w:sz w:val="22"/>
          <w:szCs w:val="22"/>
        </w:rPr>
        <w:t xml:space="preserve">to provide guidance to the Secretariat </w:t>
      </w:r>
      <w:r w:rsidRPr="009A47F8">
        <w:rPr>
          <w:rFonts w:cstheme="minorHAnsi"/>
          <w:color w:val="auto"/>
          <w:sz w:val="22"/>
          <w:szCs w:val="22"/>
        </w:rPr>
        <w:t xml:space="preserve">was </w:t>
      </w:r>
      <w:r w:rsidR="002A7CA8" w:rsidRPr="009A47F8">
        <w:rPr>
          <w:rFonts w:cstheme="minorHAnsi"/>
          <w:color w:val="auto"/>
          <w:sz w:val="22"/>
          <w:szCs w:val="22"/>
        </w:rPr>
        <w:t xml:space="preserve">agreed at the </w:t>
      </w:r>
      <w:r w:rsidRPr="009A47F8">
        <w:rPr>
          <w:rFonts w:cstheme="minorHAnsi"/>
          <w:color w:val="auto"/>
          <w:sz w:val="22"/>
          <w:szCs w:val="22"/>
        </w:rPr>
        <w:t>3rd</w:t>
      </w:r>
      <w:r w:rsidR="002A7CA8" w:rsidRPr="009A47F8">
        <w:rPr>
          <w:rFonts w:cstheme="minorHAnsi"/>
          <w:color w:val="auto"/>
          <w:sz w:val="22"/>
          <w:szCs w:val="22"/>
        </w:rPr>
        <w:t xml:space="preserve"> </w:t>
      </w:r>
      <w:r w:rsidRPr="009A47F8">
        <w:rPr>
          <w:rFonts w:cstheme="minorHAnsi"/>
          <w:color w:val="auto"/>
          <w:sz w:val="22"/>
          <w:szCs w:val="22"/>
        </w:rPr>
        <w:t xml:space="preserve">Meeting of </w:t>
      </w:r>
      <w:r w:rsidR="00663334" w:rsidRPr="009A47F8">
        <w:rPr>
          <w:rFonts w:cstheme="minorHAnsi"/>
          <w:color w:val="auto"/>
          <w:sz w:val="22"/>
          <w:szCs w:val="22"/>
        </w:rPr>
        <w:t xml:space="preserve">the </w:t>
      </w:r>
      <w:r w:rsidRPr="009A47F8">
        <w:rPr>
          <w:rFonts w:cstheme="minorHAnsi"/>
          <w:color w:val="auto"/>
          <w:sz w:val="22"/>
          <w:szCs w:val="22"/>
        </w:rPr>
        <w:t>Partners</w:t>
      </w:r>
      <w:r w:rsidR="002A7CA8" w:rsidRPr="009A47F8">
        <w:rPr>
          <w:rFonts w:cstheme="minorHAnsi"/>
          <w:color w:val="auto"/>
          <w:sz w:val="22"/>
          <w:szCs w:val="22"/>
        </w:rPr>
        <w:t xml:space="preserve"> </w:t>
      </w:r>
      <w:r w:rsidR="00B30DF8" w:rsidRPr="009A47F8">
        <w:rPr>
          <w:rFonts w:cstheme="minorHAnsi"/>
          <w:color w:val="auto"/>
          <w:sz w:val="22"/>
          <w:szCs w:val="22"/>
        </w:rPr>
        <w:t>(</w:t>
      </w:r>
      <w:r w:rsidR="009A47F8">
        <w:rPr>
          <w:rFonts w:cstheme="minorHAnsi"/>
          <w:color w:val="auto"/>
          <w:sz w:val="22"/>
          <w:szCs w:val="22"/>
        </w:rPr>
        <w:t>M</w:t>
      </w:r>
      <w:r w:rsidR="00EB038D">
        <w:rPr>
          <w:rFonts w:cstheme="minorHAnsi"/>
          <w:color w:val="auto"/>
          <w:sz w:val="22"/>
          <w:szCs w:val="22"/>
        </w:rPr>
        <w:t>o</w:t>
      </w:r>
      <w:r w:rsidR="009A47F8">
        <w:rPr>
          <w:rFonts w:cstheme="minorHAnsi"/>
          <w:color w:val="auto"/>
          <w:sz w:val="22"/>
          <w:szCs w:val="22"/>
        </w:rPr>
        <w:t xml:space="preserve">P9, </w:t>
      </w:r>
      <w:r w:rsidRPr="009A47F8">
        <w:rPr>
          <w:rFonts w:cstheme="minorHAnsi"/>
          <w:color w:val="auto"/>
          <w:sz w:val="22"/>
          <w:szCs w:val="22"/>
        </w:rPr>
        <w:t>Incheon</w:t>
      </w:r>
      <w:r w:rsidR="00B30DF8" w:rsidRPr="009A47F8">
        <w:rPr>
          <w:rFonts w:cstheme="minorHAnsi"/>
          <w:color w:val="auto"/>
          <w:sz w:val="22"/>
          <w:szCs w:val="22"/>
        </w:rPr>
        <w:t>,</w:t>
      </w:r>
      <w:r w:rsidRPr="009A47F8">
        <w:rPr>
          <w:rFonts w:cstheme="minorHAnsi"/>
          <w:color w:val="auto"/>
          <w:sz w:val="22"/>
          <w:szCs w:val="22"/>
        </w:rPr>
        <w:t xml:space="preserve"> 2008</w:t>
      </w:r>
      <w:r w:rsidR="00B30DF8" w:rsidRPr="009A47F8">
        <w:rPr>
          <w:rFonts w:cstheme="minorHAnsi"/>
          <w:color w:val="auto"/>
          <w:sz w:val="22"/>
          <w:szCs w:val="22"/>
        </w:rPr>
        <w:t>)</w:t>
      </w:r>
      <w:r w:rsidR="009A47F8" w:rsidRPr="009A47F8">
        <w:rPr>
          <w:rFonts w:cstheme="minorHAnsi"/>
          <w:color w:val="auto"/>
          <w:sz w:val="22"/>
          <w:szCs w:val="22"/>
        </w:rPr>
        <w:t xml:space="preserve">. The </w:t>
      </w:r>
      <w:r w:rsidR="00F17707" w:rsidRPr="009A47F8">
        <w:rPr>
          <w:rFonts w:cstheme="minorHAnsi"/>
          <w:color w:val="auto"/>
          <w:sz w:val="22"/>
          <w:szCs w:val="22"/>
        </w:rPr>
        <w:t xml:space="preserve">Terms of Reference for the Committee was adopted at </w:t>
      </w:r>
      <w:r w:rsidR="009A47F8">
        <w:rPr>
          <w:rFonts w:cstheme="minorHAnsi"/>
          <w:color w:val="auto"/>
          <w:sz w:val="22"/>
          <w:szCs w:val="22"/>
        </w:rPr>
        <w:t>M</w:t>
      </w:r>
      <w:r w:rsidR="00EB038D">
        <w:rPr>
          <w:rFonts w:cstheme="minorHAnsi"/>
          <w:color w:val="auto"/>
          <w:sz w:val="22"/>
          <w:szCs w:val="22"/>
        </w:rPr>
        <w:t>o</w:t>
      </w:r>
      <w:r w:rsidR="009A47F8">
        <w:rPr>
          <w:rFonts w:cstheme="minorHAnsi"/>
          <w:color w:val="auto"/>
          <w:sz w:val="22"/>
          <w:szCs w:val="22"/>
        </w:rPr>
        <w:t>P5</w:t>
      </w:r>
      <w:r w:rsidR="00F17707" w:rsidRPr="009A47F8">
        <w:rPr>
          <w:rFonts w:cstheme="minorHAnsi"/>
          <w:color w:val="auto"/>
          <w:sz w:val="22"/>
          <w:szCs w:val="22"/>
        </w:rPr>
        <w:t xml:space="preserve"> (</w:t>
      </w:r>
      <w:proofErr w:type="spellStart"/>
      <w:r w:rsidR="00F17707" w:rsidRPr="009A47F8">
        <w:rPr>
          <w:rFonts w:cstheme="minorHAnsi"/>
          <w:color w:val="auto"/>
          <w:sz w:val="22"/>
          <w:szCs w:val="22"/>
        </w:rPr>
        <w:t>Siem</w:t>
      </w:r>
      <w:proofErr w:type="spellEnd"/>
      <w:r w:rsidR="00F17707" w:rsidRPr="009A47F8">
        <w:rPr>
          <w:rFonts w:cstheme="minorHAnsi"/>
          <w:color w:val="auto"/>
          <w:sz w:val="22"/>
          <w:szCs w:val="22"/>
        </w:rPr>
        <w:t xml:space="preserve"> Reap 2010</w:t>
      </w:r>
      <w:r w:rsidR="00E73B4C" w:rsidRPr="009A47F8">
        <w:rPr>
          <w:rFonts w:cstheme="minorHAnsi"/>
          <w:color w:val="auto"/>
          <w:sz w:val="22"/>
          <w:szCs w:val="22"/>
        </w:rPr>
        <w:t>, Agenda item 6.4</w:t>
      </w:r>
      <w:r w:rsidR="00F17707" w:rsidRPr="009A47F8">
        <w:rPr>
          <w:rFonts w:cstheme="minorHAnsi"/>
          <w:color w:val="auto"/>
          <w:sz w:val="22"/>
          <w:szCs w:val="22"/>
        </w:rPr>
        <w:t>)</w:t>
      </w:r>
      <w:r w:rsidR="009A47F8" w:rsidRPr="009A47F8">
        <w:rPr>
          <w:rFonts w:cstheme="minorHAnsi"/>
          <w:color w:val="auto"/>
          <w:sz w:val="22"/>
          <w:szCs w:val="22"/>
        </w:rPr>
        <w:t xml:space="preserve"> and revised at </w:t>
      </w:r>
      <w:r w:rsidR="009A47F8">
        <w:rPr>
          <w:rFonts w:cstheme="minorHAnsi"/>
          <w:color w:val="auto"/>
          <w:sz w:val="22"/>
          <w:szCs w:val="22"/>
        </w:rPr>
        <w:t>M</w:t>
      </w:r>
      <w:r w:rsidR="00EB038D">
        <w:rPr>
          <w:rFonts w:cstheme="minorHAnsi"/>
          <w:color w:val="auto"/>
          <w:sz w:val="22"/>
          <w:szCs w:val="22"/>
        </w:rPr>
        <w:t>o</w:t>
      </w:r>
      <w:r w:rsidR="009A47F8">
        <w:rPr>
          <w:rFonts w:cstheme="minorHAnsi"/>
          <w:color w:val="auto"/>
          <w:sz w:val="22"/>
          <w:szCs w:val="22"/>
        </w:rPr>
        <w:t>P9</w:t>
      </w:r>
      <w:r w:rsidR="009A47F8" w:rsidRPr="009A47F8">
        <w:rPr>
          <w:rFonts w:cstheme="minorHAnsi"/>
          <w:color w:val="auto"/>
          <w:sz w:val="22"/>
          <w:szCs w:val="22"/>
        </w:rPr>
        <w:t xml:space="preserve"> (Singapore</w:t>
      </w:r>
      <w:r w:rsidR="009A47F8">
        <w:rPr>
          <w:rFonts w:cstheme="minorHAnsi"/>
          <w:color w:val="auto"/>
          <w:sz w:val="22"/>
          <w:szCs w:val="22"/>
        </w:rPr>
        <w:t xml:space="preserve"> </w:t>
      </w:r>
      <w:r w:rsidR="009A47F8" w:rsidRPr="009A47F8">
        <w:rPr>
          <w:rFonts w:cstheme="minorHAnsi"/>
          <w:color w:val="auto"/>
          <w:sz w:val="22"/>
          <w:szCs w:val="22"/>
        </w:rPr>
        <w:t>2017</w:t>
      </w:r>
      <w:r w:rsidR="009A47F8">
        <w:rPr>
          <w:rFonts w:cstheme="minorHAnsi"/>
          <w:color w:val="auto"/>
          <w:sz w:val="22"/>
          <w:szCs w:val="22"/>
        </w:rPr>
        <w:t>, Decision M</w:t>
      </w:r>
      <w:r w:rsidR="00EB038D">
        <w:rPr>
          <w:rFonts w:cstheme="minorHAnsi"/>
          <w:color w:val="auto"/>
          <w:sz w:val="22"/>
          <w:szCs w:val="22"/>
        </w:rPr>
        <w:t>o</w:t>
      </w:r>
      <w:r w:rsidR="009A47F8">
        <w:rPr>
          <w:rFonts w:cstheme="minorHAnsi"/>
          <w:color w:val="auto"/>
          <w:sz w:val="22"/>
          <w:szCs w:val="22"/>
        </w:rPr>
        <w:t>P9/D6</w:t>
      </w:r>
      <w:r w:rsidR="009A47F8" w:rsidRPr="009A47F8">
        <w:rPr>
          <w:rFonts w:cstheme="minorHAnsi"/>
          <w:color w:val="auto"/>
          <w:sz w:val="22"/>
          <w:szCs w:val="22"/>
        </w:rPr>
        <w:t xml:space="preserve">). </w:t>
      </w:r>
    </w:p>
    <w:p w14:paraId="3C865950" w14:textId="77777777" w:rsidR="009A47F8" w:rsidRPr="009A47F8" w:rsidRDefault="009A47F8" w:rsidP="009A47F8">
      <w:pPr>
        <w:pStyle w:val="Default"/>
        <w:rPr>
          <w:rFonts w:cstheme="minorHAnsi"/>
          <w:color w:val="auto"/>
          <w:sz w:val="22"/>
          <w:szCs w:val="22"/>
        </w:rPr>
      </w:pPr>
    </w:p>
    <w:p w14:paraId="1BEF4787" w14:textId="0CBB98DA" w:rsidR="009A47F8" w:rsidRPr="009A47F8" w:rsidRDefault="009A47F8" w:rsidP="009A47F8">
      <w:pPr>
        <w:pStyle w:val="Default"/>
        <w:numPr>
          <w:ilvl w:val="0"/>
          <w:numId w:val="7"/>
        </w:numPr>
        <w:ind w:left="426" w:hanging="426"/>
        <w:rPr>
          <w:rFonts w:cstheme="minorHAnsi"/>
          <w:sz w:val="22"/>
          <w:szCs w:val="22"/>
        </w:rPr>
      </w:pPr>
      <w:r w:rsidRPr="009A47F8">
        <w:rPr>
          <w:rFonts w:cstheme="minorHAnsi"/>
          <w:sz w:val="22"/>
          <w:szCs w:val="22"/>
        </w:rPr>
        <w:t>The general function of the M</w:t>
      </w:r>
      <w:r w:rsidR="00EB038D">
        <w:rPr>
          <w:rFonts w:cstheme="minorHAnsi"/>
          <w:sz w:val="22"/>
          <w:szCs w:val="22"/>
        </w:rPr>
        <w:t>C</w:t>
      </w:r>
      <w:r w:rsidRPr="009A47F8">
        <w:rPr>
          <w:rFonts w:cstheme="minorHAnsi"/>
          <w:sz w:val="22"/>
          <w:szCs w:val="22"/>
        </w:rPr>
        <w:t xml:space="preserve"> is to provide general policy, operational and financial direction to the Secretariat concerning the implementation and the expansion of the Partnership. </w:t>
      </w:r>
    </w:p>
    <w:p w14:paraId="013BF1E7" w14:textId="010338F0" w:rsidR="00E73B4C" w:rsidRPr="009A47F8" w:rsidRDefault="00E73B4C" w:rsidP="00C837EC">
      <w:pPr>
        <w:tabs>
          <w:tab w:val="num" w:pos="426"/>
          <w:tab w:val="left" w:pos="4253"/>
        </w:tabs>
        <w:overflowPunct w:val="0"/>
        <w:autoSpaceDE w:val="0"/>
        <w:autoSpaceDN w:val="0"/>
        <w:adjustRightInd w:val="0"/>
        <w:spacing w:after="0" w:line="240" w:lineRule="auto"/>
        <w:ind w:left="426" w:hanging="426"/>
        <w:rPr>
          <w:rFonts w:cstheme="minorHAnsi"/>
        </w:rPr>
      </w:pPr>
    </w:p>
    <w:p w14:paraId="32A9D49B" w14:textId="198DAB3E" w:rsidR="00894EDF" w:rsidRPr="009940FB" w:rsidRDefault="009A47F8" w:rsidP="009940FB">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3</w:t>
      </w:r>
      <w:r w:rsidR="00894EDF" w:rsidRPr="009A47F8">
        <w:rPr>
          <w:rFonts w:cs="Garamond"/>
          <w:lang w:val="en-GB"/>
        </w:rPr>
        <w:t>.</w:t>
      </w:r>
      <w:r w:rsidR="00894EDF" w:rsidRPr="009A47F8">
        <w:rPr>
          <w:rFonts w:cs="Garamond"/>
          <w:lang w:val="en-GB"/>
        </w:rPr>
        <w:tab/>
      </w:r>
      <w:r>
        <w:rPr>
          <w:rFonts w:cs="Garamond"/>
          <w:lang w:val="en-GB"/>
        </w:rPr>
        <w:t>M</w:t>
      </w:r>
      <w:r w:rsidR="00EB038D">
        <w:rPr>
          <w:rFonts w:cs="Garamond"/>
          <w:lang w:val="en-GB"/>
        </w:rPr>
        <w:t>o</w:t>
      </w:r>
      <w:r>
        <w:rPr>
          <w:rFonts w:cs="Garamond"/>
          <w:lang w:val="en-GB"/>
        </w:rPr>
        <w:t>P</w:t>
      </w:r>
      <w:r w:rsidR="002B7E8A">
        <w:rPr>
          <w:rFonts w:cs="Garamond"/>
          <w:lang w:val="en-GB"/>
        </w:rPr>
        <w:t>10</w:t>
      </w:r>
      <w:r w:rsidR="00663334" w:rsidRPr="00663334">
        <w:rPr>
          <w:lang w:val="en-GB"/>
        </w:rPr>
        <w:t xml:space="preserve"> </w:t>
      </w:r>
      <w:r w:rsidR="00894EDF" w:rsidRPr="00663334">
        <w:rPr>
          <w:lang w:val="en-GB"/>
        </w:rPr>
        <w:t xml:space="preserve">elected a new </w:t>
      </w:r>
      <w:r w:rsidR="00663334" w:rsidRPr="00663334">
        <w:rPr>
          <w:lang w:val="en-GB"/>
        </w:rPr>
        <w:t>M</w:t>
      </w:r>
      <w:r w:rsidR="00894EDF" w:rsidRPr="00663334">
        <w:rPr>
          <w:lang w:val="en-GB"/>
        </w:rPr>
        <w:t xml:space="preserve">C to oversee </w:t>
      </w:r>
      <w:r w:rsidR="00663334" w:rsidRPr="00663334">
        <w:rPr>
          <w:lang w:val="en-GB"/>
        </w:rPr>
        <w:t xml:space="preserve">Partnership </w:t>
      </w:r>
      <w:r w:rsidR="00894EDF" w:rsidRPr="00663334">
        <w:rPr>
          <w:lang w:val="en-GB"/>
        </w:rPr>
        <w:t xml:space="preserve">matters during </w:t>
      </w:r>
      <w:r w:rsidR="00894EDF" w:rsidRPr="00663334">
        <w:rPr>
          <w:rFonts w:cs="Garamond"/>
          <w:lang w:val="en-GB"/>
        </w:rPr>
        <w:t xml:space="preserve">the </w:t>
      </w:r>
      <w:r w:rsidR="00663334" w:rsidRPr="00663334">
        <w:rPr>
          <w:rFonts w:cs="Garamond"/>
          <w:lang w:val="en-GB"/>
        </w:rPr>
        <w:t>biennium</w:t>
      </w:r>
      <w:r w:rsidR="00894EDF" w:rsidRPr="00663334">
        <w:rPr>
          <w:rFonts w:cs="Garamond"/>
          <w:lang w:val="en-GB"/>
        </w:rPr>
        <w:t xml:space="preserve"> until </w:t>
      </w:r>
      <w:r w:rsidR="00663334" w:rsidRPr="00663334">
        <w:rPr>
          <w:rFonts w:cs="Garamond"/>
          <w:lang w:val="en-GB"/>
        </w:rPr>
        <w:t>M</w:t>
      </w:r>
      <w:r w:rsidR="00EB038D">
        <w:rPr>
          <w:rFonts w:cs="Garamond"/>
          <w:lang w:val="en-GB"/>
        </w:rPr>
        <w:t>o</w:t>
      </w:r>
      <w:r w:rsidR="00663334" w:rsidRPr="00663334">
        <w:rPr>
          <w:rFonts w:cs="Garamond"/>
          <w:lang w:val="en-GB"/>
        </w:rPr>
        <w:t>P1</w:t>
      </w:r>
      <w:r>
        <w:rPr>
          <w:rFonts w:cs="Garamond"/>
          <w:lang w:val="en-GB"/>
        </w:rPr>
        <w:t>0 with</w:t>
      </w:r>
      <w:r w:rsidR="00894EDF" w:rsidRPr="00663334">
        <w:rPr>
          <w:lang w:val="en-GB"/>
        </w:rPr>
        <w:t xml:space="preserve"> </w:t>
      </w:r>
      <w:r w:rsidR="00663334" w:rsidRPr="00663334">
        <w:rPr>
          <w:lang w:val="en-GB"/>
        </w:rPr>
        <w:t>the USA</w:t>
      </w:r>
      <w:r w:rsidR="00894EDF" w:rsidRPr="00663334">
        <w:rPr>
          <w:lang w:val="en-GB"/>
        </w:rPr>
        <w:t xml:space="preserve"> as its Chair and </w:t>
      </w:r>
      <w:r w:rsidR="00663334" w:rsidRPr="00663334">
        <w:rPr>
          <w:lang w:val="en-GB"/>
        </w:rPr>
        <w:t>Singapore</w:t>
      </w:r>
      <w:r w:rsidR="00894EDF" w:rsidRPr="00663334">
        <w:rPr>
          <w:lang w:val="en-GB"/>
        </w:rPr>
        <w:t xml:space="preserve"> </w:t>
      </w:r>
      <w:r w:rsidR="00894EDF" w:rsidRPr="009940FB">
        <w:rPr>
          <w:lang w:val="en-GB"/>
        </w:rPr>
        <w:t xml:space="preserve">as Vice-Chair. The present composition of the </w:t>
      </w:r>
      <w:r w:rsidR="00663334" w:rsidRPr="009940FB">
        <w:rPr>
          <w:lang w:val="en-GB"/>
        </w:rPr>
        <w:t>M</w:t>
      </w:r>
      <w:r>
        <w:rPr>
          <w:lang w:val="en-GB"/>
        </w:rPr>
        <w:t>C</w:t>
      </w:r>
      <w:r w:rsidR="00894EDF" w:rsidRPr="009940FB">
        <w:rPr>
          <w:lang w:val="en-GB"/>
        </w:rPr>
        <w:t xml:space="preserve"> reflects th</w:t>
      </w:r>
      <w:r w:rsidR="00663334" w:rsidRPr="009940FB">
        <w:rPr>
          <w:lang w:val="en-GB"/>
        </w:rPr>
        <w:t>at as</w:t>
      </w:r>
      <w:r w:rsidR="00894EDF" w:rsidRPr="009940FB">
        <w:rPr>
          <w:lang w:val="en-GB"/>
        </w:rPr>
        <w:t xml:space="preserve"> mandated by </w:t>
      </w:r>
      <w:r>
        <w:rPr>
          <w:lang w:val="en-GB"/>
        </w:rPr>
        <w:t xml:space="preserve">Decision </w:t>
      </w:r>
      <w:r w:rsidR="00EB038D">
        <w:rPr>
          <w:lang w:val="en-GB"/>
        </w:rPr>
        <w:t>MoP</w:t>
      </w:r>
      <w:r>
        <w:rPr>
          <w:lang w:val="en-GB"/>
        </w:rPr>
        <w:t>9/D6</w:t>
      </w:r>
      <w:r w:rsidR="00894EDF" w:rsidRPr="009940FB">
        <w:rPr>
          <w:lang w:val="en-GB"/>
        </w:rPr>
        <w:t>, outlined below:</w:t>
      </w:r>
    </w:p>
    <w:p w14:paraId="384DFA67" w14:textId="77777777" w:rsidR="00894EDF" w:rsidRPr="009940FB" w:rsidRDefault="00894EDF" w:rsidP="009940FB">
      <w:pPr>
        <w:tabs>
          <w:tab w:val="left" w:pos="2001"/>
        </w:tabs>
        <w:autoSpaceDE w:val="0"/>
        <w:autoSpaceDN w:val="0"/>
        <w:adjustRightInd w:val="0"/>
        <w:spacing w:after="0"/>
        <w:rPr>
          <w:rFonts w:cs="Garamond"/>
          <w:lang w:val="en-GB"/>
        </w:rPr>
      </w:pPr>
    </w:p>
    <w:p w14:paraId="228C1A53" w14:textId="180FE061"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Chair of the Partnership</w:t>
      </w:r>
      <w:r w:rsidR="00894EDF" w:rsidRPr="009940FB">
        <w:rPr>
          <w:lang w:val="en-GB"/>
        </w:rPr>
        <w:t>:</w:t>
      </w:r>
      <w:r w:rsidR="009940FB">
        <w:rPr>
          <w:lang w:val="en-GB"/>
        </w:rPr>
        <w:tab/>
      </w:r>
      <w:r w:rsidRPr="009940FB">
        <w:rPr>
          <w:lang w:val="en-GB"/>
        </w:rPr>
        <w:t>United States of America</w:t>
      </w:r>
      <w:r w:rsidR="00894EDF" w:rsidRPr="009940FB">
        <w:rPr>
          <w:lang w:val="en-GB"/>
        </w:rPr>
        <w:t xml:space="preserve"> </w:t>
      </w:r>
    </w:p>
    <w:p w14:paraId="73DA964D" w14:textId="3BB20B51"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Vice-Chair of the Partnership</w:t>
      </w:r>
      <w:r w:rsidR="00894EDF" w:rsidRPr="009940FB">
        <w:rPr>
          <w:lang w:val="en-GB"/>
        </w:rPr>
        <w:t>:</w:t>
      </w:r>
      <w:r w:rsidR="009940FB">
        <w:rPr>
          <w:lang w:val="en-GB"/>
        </w:rPr>
        <w:tab/>
      </w:r>
      <w:r w:rsidRPr="009940FB">
        <w:rPr>
          <w:lang w:val="en-GB"/>
        </w:rPr>
        <w:t>Singapore</w:t>
      </w:r>
      <w:r w:rsidR="00894EDF" w:rsidRPr="009940FB">
        <w:rPr>
          <w:lang w:val="en-GB"/>
        </w:rPr>
        <w:t xml:space="preserve"> </w:t>
      </w:r>
    </w:p>
    <w:p w14:paraId="23C4F200" w14:textId="2E60715A" w:rsidR="00894EDF" w:rsidRPr="009940FB" w:rsidRDefault="00663334" w:rsidP="009940FB">
      <w:pPr>
        <w:tabs>
          <w:tab w:val="left" w:pos="3402"/>
        </w:tabs>
        <w:autoSpaceDE w:val="0"/>
        <w:autoSpaceDN w:val="0"/>
        <w:adjustRightInd w:val="0"/>
        <w:spacing w:after="0"/>
        <w:ind w:left="425"/>
        <w:rPr>
          <w:lang w:val="en-GB"/>
        </w:rPr>
      </w:pPr>
      <w:r w:rsidRPr="009940FB">
        <w:rPr>
          <w:b/>
          <w:lang w:val="en-GB"/>
        </w:rPr>
        <w:t>Host Government Partner</w:t>
      </w:r>
      <w:r w:rsidR="00894EDF" w:rsidRPr="009940FB">
        <w:rPr>
          <w:lang w:val="en-GB"/>
        </w:rPr>
        <w:t>:</w:t>
      </w:r>
      <w:r w:rsidR="009940FB">
        <w:rPr>
          <w:lang w:val="en-GB"/>
        </w:rPr>
        <w:tab/>
      </w:r>
      <w:r w:rsidRPr="009940FB">
        <w:rPr>
          <w:lang w:val="en-GB"/>
        </w:rPr>
        <w:t>Republic of Korea</w:t>
      </w:r>
      <w:r w:rsidR="00894EDF" w:rsidRPr="009940FB">
        <w:rPr>
          <w:lang w:val="en-GB"/>
        </w:rPr>
        <w:t xml:space="preserve"> </w:t>
      </w:r>
    </w:p>
    <w:p w14:paraId="55849E60" w14:textId="557FAD25" w:rsidR="00894EDF" w:rsidRPr="009940FB" w:rsidRDefault="00663334" w:rsidP="009940FB">
      <w:pPr>
        <w:tabs>
          <w:tab w:val="left" w:pos="3402"/>
        </w:tabs>
        <w:autoSpaceDE w:val="0"/>
        <w:autoSpaceDN w:val="0"/>
        <w:adjustRightInd w:val="0"/>
        <w:spacing w:after="0"/>
        <w:ind w:left="425"/>
        <w:rPr>
          <w:rFonts w:cs="Garamond"/>
          <w:lang w:val="en-GB"/>
        </w:rPr>
      </w:pPr>
      <w:r w:rsidRPr="009940FB">
        <w:rPr>
          <w:b/>
          <w:lang w:val="en-GB"/>
        </w:rPr>
        <w:t>Intergovernmental Partner (1)</w:t>
      </w:r>
      <w:r w:rsidR="00894EDF" w:rsidRPr="009940FB">
        <w:rPr>
          <w:lang w:val="en-GB"/>
        </w:rPr>
        <w:t>:</w:t>
      </w:r>
      <w:r w:rsidR="009940FB">
        <w:rPr>
          <w:lang w:val="en-GB"/>
        </w:rPr>
        <w:tab/>
      </w:r>
      <w:r w:rsidR="002B7E8A">
        <w:rPr>
          <w:lang w:val="en-GB"/>
        </w:rPr>
        <w:t>Convention o</w:t>
      </w:r>
      <w:r w:rsidR="00CC68E8">
        <w:rPr>
          <w:lang w:val="en-GB"/>
        </w:rPr>
        <w:t>n</w:t>
      </w:r>
      <w:r w:rsidR="002B7E8A">
        <w:rPr>
          <w:lang w:val="en-GB"/>
        </w:rPr>
        <w:t xml:space="preserve"> Migratory Species</w:t>
      </w:r>
    </w:p>
    <w:p w14:paraId="4D495709" w14:textId="6B8F51C7" w:rsidR="009940FB" w:rsidRPr="009940FB" w:rsidRDefault="009940FB" w:rsidP="009940FB">
      <w:pPr>
        <w:tabs>
          <w:tab w:val="left" w:pos="3402"/>
        </w:tabs>
        <w:autoSpaceDE w:val="0"/>
        <w:autoSpaceDN w:val="0"/>
        <w:adjustRightInd w:val="0"/>
        <w:spacing w:after="0"/>
        <w:ind w:left="425"/>
        <w:rPr>
          <w:rFonts w:cs="Garamond"/>
          <w:lang w:val="en-GB"/>
        </w:rPr>
      </w:pPr>
      <w:r w:rsidRPr="009940FB">
        <w:rPr>
          <w:rFonts w:cs="Garamond"/>
          <w:b/>
          <w:lang w:val="en-GB"/>
        </w:rPr>
        <w:t>Government Partner (1)</w:t>
      </w:r>
      <w:r w:rsidRPr="009940FB">
        <w:rPr>
          <w:rFonts w:cs="Garamond"/>
          <w:lang w:val="en-GB"/>
        </w:rPr>
        <w:t>:</w:t>
      </w:r>
      <w:r>
        <w:rPr>
          <w:rFonts w:cs="Garamond"/>
          <w:lang w:val="en-GB"/>
        </w:rPr>
        <w:tab/>
      </w:r>
      <w:r w:rsidR="002B7E8A">
        <w:rPr>
          <w:rFonts w:cs="Garamond"/>
          <w:lang w:val="en-GB"/>
        </w:rPr>
        <w:t>Thailand</w:t>
      </w:r>
    </w:p>
    <w:p w14:paraId="3AE261AF" w14:textId="1E2256B6" w:rsidR="009940FB" w:rsidRDefault="00663334" w:rsidP="009940FB">
      <w:pPr>
        <w:pStyle w:val="ListParagraph"/>
        <w:tabs>
          <w:tab w:val="left" w:pos="3402"/>
        </w:tabs>
        <w:spacing w:after="0"/>
        <w:ind w:left="0" w:firstLine="425"/>
        <w:rPr>
          <w:lang w:val="en-GB"/>
        </w:rPr>
      </w:pPr>
      <w:r w:rsidRPr="009940FB">
        <w:rPr>
          <w:b/>
          <w:lang w:val="en-GB"/>
        </w:rPr>
        <w:t>Non-government Partners (2)</w:t>
      </w:r>
      <w:r w:rsidR="00894EDF" w:rsidRPr="009940FB">
        <w:rPr>
          <w:lang w:val="en-GB"/>
        </w:rPr>
        <w:t>:</w:t>
      </w:r>
      <w:r w:rsidR="009940FB">
        <w:rPr>
          <w:lang w:val="en-GB"/>
        </w:rPr>
        <w:tab/>
      </w:r>
      <w:r w:rsidR="002B7E8A" w:rsidRPr="009940FB">
        <w:rPr>
          <w:lang w:val="en-GB"/>
        </w:rPr>
        <w:t>Wildfowl and Wetlands Trust</w:t>
      </w:r>
    </w:p>
    <w:p w14:paraId="266537AB" w14:textId="6F778588" w:rsidR="00CC68E8" w:rsidRPr="009940FB" w:rsidRDefault="00CC68E8" w:rsidP="009940FB">
      <w:pPr>
        <w:pStyle w:val="ListParagraph"/>
        <w:tabs>
          <w:tab w:val="left" w:pos="3402"/>
        </w:tabs>
        <w:spacing w:after="0"/>
        <w:ind w:left="0" w:firstLine="425"/>
        <w:rPr>
          <w:lang w:val="en-GB"/>
        </w:rPr>
      </w:pPr>
      <w:r>
        <w:rPr>
          <w:lang w:val="en-GB"/>
        </w:rPr>
        <w:tab/>
        <w:t>Wetland International</w:t>
      </w:r>
    </w:p>
    <w:p w14:paraId="547E79D4" w14:textId="07ED475F" w:rsidR="00894EDF" w:rsidRPr="00894EDF" w:rsidRDefault="009940FB" w:rsidP="001C3BC1">
      <w:pPr>
        <w:tabs>
          <w:tab w:val="left" w:pos="3402"/>
        </w:tabs>
        <w:autoSpaceDE w:val="0"/>
        <w:autoSpaceDN w:val="0"/>
        <w:adjustRightInd w:val="0"/>
        <w:spacing w:after="0"/>
        <w:ind w:left="425"/>
        <w:rPr>
          <w:rFonts w:cs="Garamond"/>
          <w:color w:val="0033CC"/>
          <w:lang w:val="en-GB"/>
        </w:rPr>
      </w:pPr>
      <w:r>
        <w:rPr>
          <w:lang w:val="en-GB"/>
        </w:rPr>
        <w:tab/>
      </w:r>
    </w:p>
    <w:p w14:paraId="00E49446" w14:textId="33846ECB" w:rsidR="009940FB" w:rsidRPr="00286B41" w:rsidRDefault="009A47F8" w:rsidP="00286B41">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4</w:t>
      </w:r>
      <w:r w:rsidR="00286B41">
        <w:rPr>
          <w:rFonts w:cs="Garamond"/>
          <w:lang w:val="en-GB"/>
        </w:rPr>
        <w:t xml:space="preserve">. </w:t>
      </w:r>
      <w:r w:rsidR="00286B41">
        <w:rPr>
          <w:rFonts w:cs="Garamond"/>
          <w:lang w:val="en-GB"/>
        </w:rPr>
        <w:tab/>
        <w:t>At the invitation of the</w:t>
      </w:r>
      <w:r w:rsidR="009940FB" w:rsidRPr="00286B41">
        <w:rPr>
          <w:rFonts w:cs="Garamond"/>
          <w:lang w:val="en-GB"/>
        </w:rPr>
        <w:t xml:space="preserve"> Chair</w:t>
      </w:r>
      <w:r w:rsidR="00286B41">
        <w:rPr>
          <w:rFonts w:cs="Garamond"/>
          <w:lang w:val="en-GB"/>
        </w:rPr>
        <w:t>,</w:t>
      </w:r>
      <w:r w:rsidR="009940FB" w:rsidRPr="00286B41">
        <w:rPr>
          <w:rFonts w:cs="Garamond"/>
          <w:lang w:val="en-GB"/>
        </w:rPr>
        <w:t xml:space="preserve"> any person or representative of any Partner, or other country or organization, </w:t>
      </w:r>
      <w:r w:rsidR="00286B41">
        <w:rPr>
          <w:rFonts w:cs="Garamond"/>
          <w:lang w:val="en-GB"/>
        </w:rPr>
        <w:t xml:space="preserve">may </w:t>
      </w:r>
      <w:r w:rsidR="009940FB" w:rsidRPr="00286B41">
        <w:rPr>
          <w:rFonts w:cs="Garamond"/>
          <w:lang w:val="en-GB"/>
        </w:rPr>
        <w:t xml:space="preserve">participate in meetings of the Committee as an observer without the right to vote. </w:t>
      </w:r>
    </w:p>
    <w:p w14:paraId="21A25782" w14:textId="045682F3" w:rsidR="00894EDF" w:rsidRPr="009940FB" w:rsidRDefault="00894EDF" w:rsidP="00894EDF">
      <w:pPr>
        <w:overflowPunct w:val="0"/>
        <w:autoSpaceDE w:val="0"/>
        <w:autoSpaceDN w:val="0"/>
        <w:adjustRightInd w:val="0"/>
        <w:spacing w:after="0" w:line="240" w:lineRule="auto"/>
        <w:ind w:left="425" w:hanging="425"/>
        <w:rPr>
          <w:color w:val="0033CC"/>
        </w:rPr>
      </w:pPr>
    </w:p>
    <w:p w14:paraId="3B2336F2" w14:textId="521BAE9E" w:rsidR="00894EDF" w:rsidRPr="009A47F8" w:rsidRDefault="009A47F8" w:rsidP="009A47F8">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5</w:t>
      </w:r>
      <w:r w:rsidR="00894EDF" w:rsidRPr="009A47F8">
        <w:rPr>
          <w:rFonts w:cs="Garamond"/>
          <w:lang w:val="en-GB"/>
        </w:rPr>
        <w:t>.</w:t>
      </w:r>
      <w:r w:rsidR="00894EDF" w:rsidRPr="009A47F8">
        <w:rPr>
          <w:rFonts w:cs="Garamond"/>
          <w:lang w:val="en-GB"/>
        </w:rPr>
        <w:tab/>
        <w:t xml:space="preserve">In the present report, only the main issues the </w:t>
      </w:r>
      <w:r w:rsidRPr="009A47F8">
        <w:rPr>
          <w:rFonts w:cs="Garamond"/>
          <w:lang w:val="en-GB"/>
        </w:rPr>
        <w:t>MC</w:t>
      </w:r>
      <w:r w:rsidR="00894EDF" w:rsidRPr="009A47F8">
        <w:rPr>
          <w:rFonts w:cs="Garamond"/>
          <w:lang w:val="en-GB"/>
        </w:rPr>
        <w:t xml:space="preserve"> has dealt with are highlighted, from </w:t>
      </w:r>
      <w:r w:rsidR="00810291">
        <w:rPr>
          <w:rFonts w:cs="Garamond"/>
          <w:lang w:val="en-GB"/>
        </w:rPr>
        <w:t xml:space="preserve">December 2018 </w:t>
      </w:r>
      <w:r w:rsidR="00894EDF" w:rsidRPr="009A47F8">
        <w:rPr>
          <w:rFonts w:cs="Garamond"/>
          <w:lang w:val="en-GB"/>
        </w:rPr>
        <w:t xml:space="preserve">(the close of the </w:t>
      </w:r>
      <w:r w:rsidR="00EB038D">
        <w:rPr>
          <w:rFonts w:cs="Garamond"/>
          <w:lang w:val="en-GB"/>
        </w:rPr>
        <w:t>MoP</w:t>
      </w:r>
      <w:r w:rsidR="00810291">
        <w:rPr>
          <w:rFonts w:cs="Garamond"/>
          <w:lang w:val="en-GB"/>
        </w:rPr>
        <w:t>10</w:t>
      </w:r>
      <w:r w:rsidR="00894EDF" w:rsidRPr="009A47F8">
        <w:rPr>
          <w:rFonts w:cs="Garamond"/>
          <w:lang w:val="en-GB"/>
        </w:rPr>
        <w:t xml:space="preserve">) to the end of </w:t>
      </w:r>
      <w:r w:rsidR="00810291">
        <w:rPr>
          <w:rFonts w:cs="Garamond"/>
          <w:lang w:val="en-GB"/>
        </w:rPr>
        <w:t>February 2023</w:t>
      </w:r>
      <w:r w:rsidR="00894EDF" w:rsidRPr="009A47F8">
        <w:rPr>
          <w:rFonts w:cs="Garamond"/>
          <w:lang w:val="en-GB"/>
        </w:rPr>
        <w:t>.</w:t>
      </w:r>
    </w:p>
    <w:p w14:paraId="50FFAF50" w14:textId="77777777" w:rsidR="00894EDF" w:rsidRPr="009A47F8" w:rsidRDefault="00894EDF" w:rsidP="00894EDF">
      <w:pPr>
        <w:tabs>
          <w:tab w:val="left" w:pos="1982"/>
        </w:tabs>
        <w:overflowPunct w:val="0"/>
        <w:autoSpaceDE w:val="0"/>
        <w:autoSpaceDN w:val="0"/>
        <w:adjustRightInd w:val="0"/>
        <w:spacing w:after="0" w:line="240" w:lineRule="auto"/>
        <w:rPr>
          <w:rFonts w:cs="Garamond"/>
          <w:lang w:val="en-GB"/>
        </w:rPr>
      </w:pPr>
    </w:p>
    <w:p w14:paraId="7BF58240" w14:textId="5B3E5708" w:rsidR="00894EDF" w:rsidRPr="00975E80" w:rsidRDefault="00D371FA" w:rsidP="00894EDF">
      <w:pPr>
        <w:autoSpaceDE w:val="0"/>
        <w:autoSpaceDN w:val="0"/>
        <w:adjustRightInd w:val="0"/>
        <w:spacing w:after="0" w:line="240" w:lineRule="auto"/>
        <w:rPr>
          <w:lang w:val="en-GB"/>
        </w:rPr>
      </w:pPr>
      <w:r>
        <w:rPr>
          <w:rFonts w:cs="Garamond"/>
          <w:bCs/>
          <w:u w:val="single"/>
          <w:lang w:val="en-GB"/>
        </w:rPr>
        <w:lastRenderedPageBreak/>
        <w:t>Summary</w:t>
      </w:r>
      <w:r w:rsidR="00894EDF" w:rsidRPr="009A47F8">
        <w:rPr>
          <w:rFonts w:cs="Garamond"/>
          <w:bCs/>
          <w:u w:val="single"/>
          <w:lang w:val="en-GB"/>
        </w:rPr>
        <w:t xml:space="preserve"> of the main </w:t>
      </w:r>
      <w:r>
        <w:rPr>
          <w:rFonts w:cs="Garamond"/>
          <w:bCs/>
          <w:u w:val="single"/>
          <w:lang w:val="en-GB"/>
        </w:rPr>
        <w:t>items</w:t>
      </w:r>
      <w:r w:rsidR="00894EDF" w:rsidRPr="009A47F8">
        <w:rPr>
          <w:rFonts w:cs="Garamond"/>
          <w:bCs/>
          <w:u w:val="single"/>
          <w:lang w:val="en-GB"/>
        </w:rPr>
        <w:t xml:space="preserve"> </w:t>
      </w:r>
      <w:r w:rsidR="00A30DD7" w:rsidRPr="009A47F8">
        <w:rPr>
          <w:rFonts w:cs="Garamond"/>
          <w:bCs/>
          <w:u w:val="single"/>
          <w:lang w:val="en-GB"/>
        </w:rPr>
        <w:t>considered,</w:t>
      </w:r>
      <w:r w:rsidR="00894EDF" w:rsidRPr="009A47F8">
        <w:rPr>
          <w:rFonts w:cs="Garamond"/>
          <w:bCs/>
          <w:u w:val="single"/>
          <w:lang w:val="en-GB"/>
        </w:rPr>
        <w:t xml:space="preserve"> and </w:t>
      </w:r>
      <w:r>
        <w:rPr>
          <w:rFonts w:cs="Garamond"/>
          <w:bCs/>
          <w:u w:val="single"/>
          <w:lang w:val="en-GB"/>
        </w:rPr>
        <w:t xml:space="preserve">the </w:t>
      </w:r>
      <w:r w:rsidR="00894EDF" w:rsidRPr="009A47F8">
        <w:rPr>
          <w:rFonts w:cs="Garamond"/>
          <w:bCs/>
          <w:u w:val="single"/>
          <w:lang w:val="en-GB"/>
        </w:rPr>
        <w:t>decisions taken</w:t>
      </w:r>
      <w:r w:rsidR="00894EDF" w:rsidRPr="009A47F8">
        <w:rPr>
          <w:rFonts w:cs="Garamond"/>
          <w:bCs/>
          <w:u w:val="single"/>
          <w:lang w:val="en-GB"/>
        </w:rPr>
        <w:cr/>
      </w:r>
    </w:p>
    <w:p w14:paraId="29FDA5F6" w14:textId="5C298EDC" w:rsidR="000C779D" w:rsidRDefault="009A47F8" w:rsidP="009A47F8">
      <w:pPr>
        <w:tabs>
          <w:tab w:val="num" w:pos="720"/>
          <w:tab w:val="left" w:pos="4253"/>
        </w:tabs>
        <w:overflowPunct w:val="0"/>
        <w:autoSpaceDE w:val="0"/>
        <w:autoSpaceDN w:val="0"/>
        <w:adjustRightInd w:val="0"/>
        <w:spacing w:after="0"/>
        <w:ind w:left="425" w:hanging="425"/>
        <w:rPr>
          <w:rFonts w:cs="Garamond"/>
          <w:lang w:val="en-GB"/>
        </w:rPr>
      </w:pPr>
      <w:r w:rsidRPr="00975E80">
        <w:rPr>
          <w:rFonts w:cs="Garamond"/>
          <w:lang w:val="en-GB"/>
        </w:rPr>
        <w:t>6</w:t>
      </w:r>
      <w:r w:rsidR="00894EDF" w:rsidRPr="00975E80">
        <w:rPr>
          <w:rFonts w:cs="Garamond"/>
          <w:lang w:val="en-GB"/>
        </w:rPr>
        <w:t xml:space="preserve">. </w:t>
      </w:r>
      <w:r w:rsidR="00810291">
        <w:rPr>
          <w:rFonts w:cs="Garamond"/>
          <w:lang w:val="en-GB"/>
        </w:rPr>
        <w:t xml:space="preserve">Following Mr. Pete Probasco </w:t>
      </w:r>
      <w:r w:rsidR="00DA2DB1">
        <w:rPr>
          <w:rFonts w:cs="Garamond"/>
          <w:lang w:val="en-GB"/>
        </w:rPr>
        <w:t xml:space="preserve">(USA) </w:t>
      </w:r>
      <w:r w:rsidR="00810291">
        <w:rPr>
          <w:rFonts w:cs="Garamond"/>
          <w:lang w:val="en-GB"/>
        </w:rPr>
        <w:t>stepping down as Chair</w:t>
      </w:r>
      <w:r w:rsidR="00DA2DB1">
        <w:rPr>
          <w:rFonts w:cs="Garamond"/>
          <w:lang w:val="en-GB"/>
        </w:rPr>
        <w:t xml:space="preserve"> in December 2020</w:t>
      </w:r>
      <w:r w:rsidR="00810291">
        <w:rPr>
          <w:rFonts w:cs="Garamond"/>
          <w:lang w:val="en-GB"/>
        </w:rPr>
        <w:t>, Mr. Robert Kaler</w:t>
      </w:r>
      <w:r w:rsidR="00DA2DB1">
        <w:rPr>
          <w:rFonts w:cs="Garamond"/>
          <w:lang w:val="en-GB"/>
        </w:rPr>
        <w:t xml:space="preserve"> (USA)</w:t>
      </w:r>
      <w:r w:rsidR="00810291">
        <w:rPr>
          <w:rFonts w:cs="Garamond"/>
          <w:lang w:val="en-GB"/>
        </w:rPr>
        <w:t xml:space="preserve"> becoming the next Chair in January 2021, t</w:t>
      </w:r>
      <w:r w:rsidR="00894EDF" w:rsidRPr="00975E80">
        <w:rPr>
          <w:rFonts w:cs="Garamond"/>
          <w:lang w:val="en-GB"/>
        </w:rPr>
        <w:t xml:space="preserve">he </w:t>
      </w:r>
      <w:r w:rsidR="00127F46" w:rsidRPr="00975E80">
        <w:rPr>
          <w:rFonts w:cs="Garamond"/>
          <w:lang w:val="en-GB"/>
        </w:rPr>
        <w:t>MC</w:t>
      </w:r>
      <w:r w:rsidR="00894EDF" w:rsidRPr="00975E80">
        <w:rPr>
          <w:rFonts w:cs="Garamond"/>
          <w:lang w:val="en-GB"/>
        </w:rPr>
        <w:t xml:space="preserve"> </w:t>
      </w:r>
      <w:r w:rsidR="00A30DD7">
        <w:rPr>
          <w:rFonts w:cs="Garamond"/>
          <w:lang w:val="en-GB"/>
        </w:rPr>
        <w:t xml:space="preserve">met </w:t>
      </w:r>
      <w:r w:rsidR="004F3AB6">
        <w:rPr>
          <w:rFonts w:cs="Garamond"/>
          <w:lang w:val="en-GB"/>
        </w:rPr>
        <w:t>eight</w:t>
      </w:r>
      <w:r w:rsidR="00A30DD7">
        <w:rPr>
          <w:rFonts w:cs="Garamond"/>
          <w:lang w:val="en-GB"/>
        </w:rPr>
        <w:t xml:space="preserve"> times through holding </w:t>
      </w:r>
      <w:r w:rsidR="00127F46" w:rsidRPr="00975E80">
        <w:rPr>
          <w:rFonts w:cs="Garamond"/>
          <w:lang w:val="en-GB"/>
        </w:rPr>
        <w:t xml:space="preserve">conference calls </w:t>
      </w:r>
      <w:r w:rsidR="00A30DD7">
        <w:rPr>
          <w:rFonts w:cs="Garamond"/>
          <w:lang w:val="en-GB"/>
        </w:rPr>
        <w:t>from February 20</w:t>
      </w:r>
      <w:r w:rsidR="00810291">
        <w:rPr>
          <w:rFonts w:cs="Garamond"/>
          <w:lang w:val="en-GB"/>
        </w:rPr>
        <w:t>19</w:t>
      </w:r>
      <w:r w:rsidR="00A30DD7">
        <w:rPr>
          <w:rFonts w:cs="Garamond"/>
          <w:lang w:val="en-GB"/>
        </w:rPr>
        <w:t xml:space="preserve"> to </w:t>
      </w:r>
      <w:r w:rsidR="000C779D">
        <w:rPr>
          <w:rFonts w:cs="Garamond"/>
          <w:lang w:val="en-GB"/>
        </w:rPr>
        <w:t>March</w:t>
      </w:r>
      <w:r w:rsidR="00810291">
        <w:rPr>
          <w:rFonts w:cs="Garamond"/>
          <w:lang w:val="en-GB"/>
        </w:rPr>
        <w:t xml:space="preserve"> 2023</w:t>
      </w:r>
      <w:r w:rsidR="00894EDF" w:rsidRPr="00975E80">
        <w:rPr>
          <w:rFonts w:cs="Garamond"/>
          <w:lang w:val="en-GB"/>
        </w:rPr>
        <w:t>:</w:t>
      </w:r>
    </w:p>
    <w:p w14:paraId="1492CA90" w14:textId="415A832F" w:rsidR="00894EDF" w:rsidRPr="00975E80" w:rsidRDefault="00894EDF" w:rsidP="009A47F8">
      <w:pPr>
        <w:tabs>
          <w:tab w:val="num" w:pos="720"/>
          <w:tab w:val="left" w:pos="4253"/>
        </w:tabs>
        <w:overflowPunct w:val="0"/>
        <w:autoSpaceDE w:val="0"/>
        <w:autoSpaceDN w:val="0"/>
        <w:adjustRightInd w:val="0"/>
        <w:spacing w:after="0"/>
        <w:ind w:left="425" w:hanging="425"/>
        <w:rPr>
          <w:rFonts w:cs="Garamond"/>
          <w:lang w:val="en-GB"/>
        </w:rPr>
      </w:pPr>
    </w:p>
    <w:p w14:paraId="6D01FD98" w14:textId="0B9146E4" w:rsidR="004F3AB6" w:rsidRDefault="00345442"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19 March 2019</w:t>
      </w:r>
    </w:p>
    <w:p w14:paraId="7297865C" w14:textId="53AE188A" w:rsidR="00345442" w:rsidRDefault="00345442"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20 June 2019</w:t>
      </w:r>
    </w:p>
    <w:p w14:paraId="58F035EE" w14:textId="5E62FFBF" w:rsidR="00345442" w:rsidRDefault="00345442"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29 July 2019</w:t>
      </w:r>
    </w:p>
    <w:p w14:paraId="16FA3C86" w14:textId="71C2E4C1" w:rsidR="00345442" w:rsidRDefault="00345442"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03 October 2019</w:t>
      </w:r>
    </w:p>
    <w:p w14:paraId="5CCEB0E1" w14:textId="15B5F4A7" w:rsidR="00DA2DB1" w:rsidRDefault="00DA2DB1"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16 December 2019</w:t>
      </w:r>
    </w:p>
    <w:p w14:paraId="00776471" w14:textId="22F28A89" w:rsidR="00DA2DB1" w:rsidRDefault="00DA2DB1"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24 June 2020</w:t>
      </w:r>
    </w:p>
    <w:p w14:paraId="4DB97406" w14:textId="41966011" w:rsidR="00DA2DB1" w:rsidRDefault="00DA2DB1" w:rsidP="00894EDF">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21 October 2020</w:t>
      </w:r>
    </w:p>
    <w:p w14:paraId="660A3C80" w14:textId="60EA1CFF" w:rsidR="004F3AB6" w:rsidRPr="00DA2DB1" w:rsidRDefault="00345442" w:rsidP="00DA2DB1">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01 April 2021</w:t>
      </w:r>
    </w:p>
    <w:p w14:paraId="6CA9B745" w14:textId="6D0FF0D7" w:rsidR="00345442" w:rsidRPr="00345442" w:rsidRDefault="00B329D6" w:rsidP="00345442">
      <w:pPr>
        <w:pStyle w:val="ListParagraph"/>
        <w:numPr>
          <w:ilvl w:val="0"/>
          <w:numId w:val="3"/>
        </w:numPr>
        <w:overflowPunct w:val="0"/>
        <w:autoSpaceDE w:val="0"/>
        <w:autoSpaceDN w:val="0"/>
        <w:adjustRightInd w:val="0"/>
        <w:spacing w:after="0" w:line="240" w:lineRule="auto"/>
        <w:ind w:left="850" w:hanging="425"/>
        <w:rPr>
          <w:rFonts w:cs="Garamond"/>
          <w:lang w:val="en-GB"/>
        </w:rPr>
      </w:pPr>
      <w:r>
        <w:rPr>
          <w:rFonts w:cs="Garamond"/>
          <w:lang w:val="en-GB"/>
        </w:rPr>
        <w:t>1</w:t>
      </w:r>
      <w:r w:rsidR="004E587E">
        <w:rPr>
          <w:rFonts w:cs="Garamond"/>
          <w:lang w:val="en-GB"/>
        </w:rPr>
        <w:t>6</w:t>
      </w:r>
      <w:r>
        <w:rPr>
          <w:rFonts w:cs="Garamond"/>
          <w:lang w:val="en-GB"/>
        </w:rPr>
        <w:t xml:space="preserve"> December 2021</w:t>
      </w:r>
    </w:p>
    <w:p w14:paraId="4BA54E19" w14:textId="3A9E7B65" w:rsidR="00975E80" w:rsidRPr="00345442" w:rsidRDefault="004E587E" w:rsidP="00345442">
      <w:pPr>
        <w:pStyle w:val="ListParagraph"/>
        <w:numPr>
          <w:ilvl w:val="0"/>
          <w:numId w:val="3"/>
        </w:numPr>
        <w:overflowPunct w:val="0"/>
        <w:autoSpaceDE w:val="0"/>
        <w:autoSpaceDN w:val="0"/>
        <w:adjustRightInd w:val="0"/>
        <w:spacing w:after="0" w:line="240" w:lineRule="auto"/>
        <w:ind w:left="850" w:hanging="425"/>
        <w:rPr>
          <w:lang w:val="en-GB"/>
        </w:rPr>
      </w:pPr>
      <w:bookmarkStart w:id="3" w:name="page5"/>
      <w:bookmarkEnd w:id="3"/>
      <w:r>
        <w:rPr>
          <w:lang w:val="en-GB"/>
        </w:rPr>
        <w:t>08 September 2022</w:t>
      </w:r>
    </w:p>
    <w:p w14:paraId="10EC73E4" w14:textId="49E1EEE7" w:rsidR="00975E80" w:rsidRDefault="00345442" w:rsidP="004E587E">
      <w:pPr>
        <w:pStyle w:val="ListParagraph"/>
        <w:numPr>
          <w:ilvl w:val="0"/>
          <w:numId w:val="3"/>
        </w:numPr>
        <w:overflowPunct w:val="0"/>
        <w:autoSpaceDE w:val="0"/>
        <w:autoSpaceDN w:val="0"/>
        <w:adjustRightInd w:val="0"/>
        <w:spacing w:after="0" w:line="240" w:lineRule="auto"/>
        <w:ind w:left="850" w:hanging="425"/>
        <w:rPr>
          <w:lang w:val="en-GB"/>
        </w:rPr>
      </w:pPr>
      <w:r>
        <w:rPr>
          <w:lang w:val="en-GB"/>
        </w:rPr>
        <w:t>23 February 2023</w:t>
      </w:r>
    </w:p>
    <w:p w14:paraId="7B96DE3F" w14:textId="7E4025B7" w:rsidR="00345442" w:rsidRDefault="00345442" w:rsidP="004E587E">
      <w:pPr>
        <w:pStyle w:val="ListParagraph"/>
        <w:numPr>
          <w:ilvl w:val="0"/>
          <w:numId w:val="3"/>
        </w:numPr>
        <w:overflowPunct w:val="0"/>
        <w:autoSpaceDE w:val="0"/>
        <w:autoSpaceDN w:val="0"/>
        <w:adjustRightInd w:val="0"/>
        <w:spacing w:after="0" w:line="240" w:lineRule="auto"/>
        <w:ind w:left="850" w:hanging="425"/>
        <w:rPr>
          <w:lang w:val="en-GB"/>
        </w:rPr>
      </w:pPr>
      <w:r>
        <w:rPr>
          <w:lang w:val="en-GB"/>
        </w:rPr>
        <w:t>02 March 2023</w:t>
      </w:r>
    </w:p>
    <w:p w14:paraId="7DF3D0CB" w14:textId="2293DE47" w:rsidR="001B7D81" w:rsidRDefault="001B7D81" w:rsidP="001B7D81">
      <w:pPr>
        <w:overflowPunct w:val="0"/>
        <w:autoSpaceDE w:val="0"/>
        <w:autoSpaceDN w:val="0"/>
        <w:adjustRightInd w:val="0"/>
        <w:spacing w:after="0" w:line="240" w:lineRule="auto"/>
        <w:rPr>
          <w:lang w:val="en-GB"/>
        </w:rPr>
      </w:pPr>
    </w:p>
    <w:p w14:paraId="1DC30942" w14:textId="13CF6503" w:rsidR="001B7D81" w:rsidRPr="001B7D81" w:rsidRDefault="001B7D81" w:rsidP="001B7D81">
      <w:pPr>
        <w:overflowPunct w:val="0"/>
        <w:autoSpaceDE w:val="0"/>
        <w:autoSpaceDN w:val="0"/>
        <w:adjustRightInd w:val="0"/>
        <w:spacing w:after="0" w:line="240" w:lineRule="auto"/>
        <w:rPr>
          <w:b/>
          <w:bCs/>
          <w:lang w:val="en-GB"/>
        </w:rPr>
      </w:pPr>
      <w:r>
        <w:rPr>
          <w:b/>
          <w:lang w:val="en-GB"/>
        </w:rPr>
        <w:t>Summary of Key Topics, 2019-2023</w:t>
      </w:r>
    </w:p>
    <w:p w14:paraId="139F86F6" w14:textId="2C705289" w:rsidR="00127F46" w:rsidRDefault="00127F46" w:rsidP="00127F46">
      <w:pPr>
        <w:overflowPunct w:val="0"/>
        <w:autoSpaceDE w:val="0"/>
        <w:autoSpaceDN w:val="0"/>
        <w:adjustRightInd w:val="0"/>
        <w:spacing w:after="0" w:line="240" w:lineRule="auto"/>
        <w:rPr>
          <w:color w:val="0033CC"/>
          <w:lang w:val="en-GB"/>
        </w:rPr>
      </w:pPr>
    </w:p>
    <w:p w14:paraId="387B1CAB" w14:textId="7D74CBF2" w:rsidR="00A30DD7" w:rsidRDefault="00A30DD7" w:rsidP="00A30DD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7.</w:t>
      </w:r>
      <w:r>
        <w:rPr>
          <w:rFonts w:cs="Garamond"/>
          <w:lang w:val="en-GB"/>
        </w:rPr>
        <w:tab/>
      </w:r>
      <w:r w:rsidR="007B7259">
        <w:rPr>
          <w:rFonts w:cs="Garamond"/>
          <w:lang w:val="en-GB"/>
        </w:rPr>
        <w:t xml:space="preserve">Following the passing of </w:t>
      </w:r>
      <w:proofErr w:type="spellStart"/>
      <w:r w:rsidR="007B7259">
        <w:rPr>
          <w:rFonts w:cs="Garamond"/>
          <w:lang w:val="en-GB"/>
        </w:rPr>
        <w:t>Dr.</w:t>
      </w:r>
      <w:proofErr w:type="spellEnd"/>
      <w:r w:rsidR="007B7259">
        <w:rPr>
          <w:rFonts w:cs="Garamond"/>
          <w:lang w:val="en-GB"/>
        </w:rPr>
        <w:t xml:space="preserve"> Lew Young, the MC coordinate</w:t>
      </w:r>
      <w:r w:rsidR="009A2136">
        <w:rPr>
          <w:rFonts w:cs="Garamond"/>
          <w:lang w:val="en-GB"/>
        </w:rPr>
        <w:t>d</w:t>
      </w:r>
      <w:r w:rsidR="007B7259">
        <w:rPr>
          <w:rFonts w:cs="Garamond"/>
          <w:lang w:val="en-GB"/>
        </w:rPr>
        <w:t xml:space="preserve"> with the Secretariat staff to take next step to hire a Chief Executive (CE). In the Interim, the Deputy and Program Coordinator would assist with fill CE roles. </w:t>
      </w:r>
      <w:r w:rsidR="000C779D">
        <w:rPr>
          <w:rFonts w:cs="Garamond"/>
          <w:lang w:val="en-GB"/>
        </w:rPr>
        <w:t xml:space="preserve">By July 2019, after a hiring panel </w:t>
      </w:r>
      <w:r w:rsidR="001B7D81">
        <w:rPr>
          <w:rFonts w:cs="Garamond"/>
          <w:lang w:val="en-GB"/>
        </w:rPr>
        <w:t>interviewed</w:t>
      </w:r>
      <w:r w:rsidR="000C779D">
        <w:rPr>
          <w:rFonts w:cs="Garamond"/>
          <w:lang w:val="en-GB"/>
        </w:rPr>
        <w:t xml:space="preserve"> applicants</w:t>
      </w:r>
      <w:r w:rsidR="003E2F1F">
        <w:rPr>
          <w:rFonts w:cs="Garamond"/>
          <w:lang w:val="en-GB"/>
        </w:rPr>
        <w:t xml:space="preserve">, a candidate was selected with </w:t>
      </w:r>
      <w:r w:rsidR="001B7D81">
        <w:rPr>
          <w:rFonts w:cs="Garamond"/>
          <w:lang w:val="en-GB"/>
        </w:rPr>
        <w:t>t</w:t>
      </w:r>
      <w:r w:rsidR="003E2F1F">
        <w:rPr>
          <w:rFonts w:cs="Garamond"/>
          <w:lang w:val="en-GB"/>
        </w:rPr>
        <w:t>he hope to bring on the CE in October 2019. In October 2019, Mr. Doug Watkins began as the new EAAFP Chief Executive.</w:t>
      </w:r>
    </w:p>
    <w:p w14:paraId="22B37656" w14:textId="0F00DAF4" w:rsidR="007B7259" w:rsidRDefault="007B7259" w:rsidP="00A30DD7">
      <w:pPr>
        <w:tabs>
          <w:tab w:val="num" w:pos="720"/>
          <w:tab w:val="left" w:pos="4253"/>
        </w:tabs>
        <w:overflowPunct w:val="0"/>
        <w:autoSpaceDE w:val="0"/>
        <w:autoSpaceDN w:val="0"/>
        <w:adjustRightInd w:val="0"/>
        <w:spacing w:after="0"/>
        <w:ind w:left="425" w:hanging="425"/>
        <w:rPr>
          <w:rFonts w:cs="Garamond"/>
          <w:lang w:val="en-GB"/>
        </w:rPr>
      </w:pPr>
    </w:p>
    <w:p w14:paraId="2EDC8601" w14:textId="5D8E53D3" w:rsidR="007B7259" w:rsidRDefault="007B7259" w:rsidP="00A30DD7">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8.</w:t>
      </w:r>
      <w:r>
        <w:rPr>
          <w:rFonts w:cs="Garamond"/>
          <w:lang w:val="en-GB"/>
        </w:rPr>
        <w:tab/>
      </w:r>
      <w:r w:rsidR="009A2136">
        <w:rPr>
          <w:rFonts w:cs="Garamond"/>
          <w:lang w:val="en-GB"/>
        </w:rPr>
        <w:t>By June 24</w:t>
      </w:r>
      <w:r w:rsidR="009A160F">
        <w:rPr>
          <w:rFonts w:cs="Garamond"/>
          <w:lang w:val="en-GB"/>
        </w:rPr>
        <w:t xml:space="preserve"> 2020</w:t>
      </w:r>
      <w:r w:rsidR="009A2136">
        <w:rPr>
          <w:rFonts w:cs="Garamond"/>
          <w:lang w:val="en-GB"/>
        </w:rPr>
        <w:t xml:space="preserve">, the COVID 19 </w:t>
      </w:r>
      <w:r w:rsidR="001B7D81">
        <w:rPr>
          <w:rFonts w:cs="Garamond"/>
          <w:lang w:val="en-GB"/>
        </w:rPr>
        <w:t xml:space="preserve">pandemic </w:t>
      </w:r>
      <w:r w:rsidR="009A160F">
        <w:rPr>
          <w:rFonts w:cs="Garamond"/>
          <w:lang w:val="en-GB"/>
        </w:rPr>
        <w:t>had shutdown travel and Secretariat staff were on “work from home” basis. Prior to COVID restrictions, Secretariat staff were able to attend several important meetings (</w:t>
      </w:r>
      <w:r w:rsidR="001B7D81">
        <w:rPr>
          <w:rFonts w:cs="Garamond"/>
          <w:lang w:val="en-GB"/>
        </w:rPr>
        <w:t xml:space="preserve">e.g., </w:t>
      </w:r>
      <w:r w:rsidR="009A160F">
        <w:rPr>
          <w:rFonts w:cs="Garamond"/>
          <w:lang w:val="en-GB"/>
        </w:rPr>
        <w:t xml:space="preserve">CMS CoP13 in India, Indo-Burma Ramsar Regional Initiative). Several Small Grant programs projects </w:t>
      </w:r>
      <w:r w:rsidR="001B7D81">
        <w:rPr>
          <w:rFonts w:cs="Garamond"/>
          <w:lang w:val="en-GB"/>
        </w:rPr>
        <w:t xml:space="preserve">which </w:t>
      </w:r>
      <w:r w:rsidR="009A160F">
        <w:rPr>
          <w:rFonts w:cs="Garamond"/>
          <w:lang w:val="en-GB"/>
        </w:rPr>
        <w:t>had public events or international travel were able to adapt to comply with local requirements. In other cases, funds were reallocated with input from Working Group/Task Force Chairs and support by the Chair of the</w:t>
      </w:r>
      <w:r w:rsidR="001B7D81">
        <w:rPr>
          <w:rFonts w:cs="Garamond"/>
          <w:lang w:val="en-GB"/>
        </w:rPr>
        <w:t xml:space="preserve"> Technical Sub-Committee</w:t>
      </w:r>
      <w:r w:rsidR="009A160F">
        <w:rPr>
          <w:rFonts w:cs="Garamond"/>
          <w:lang w:val="en-GB"/>
        </w:rPr>
        <w:t xml:space="preserve"> </w:t>
      </w:r>
      <w:r w:rsidR="001B7D81">
        <w:rPr>
          <w:rFonts w:cs="Garamond"/>
          <w:lang w:val="en-GB"/>
        </w:rPr>
        <w:t>(</w:t>
      </w:r>
      <w:proofErr w:type="spellStart"/>
      <w:r w:rsidR="009A160F">
        <w:rPr>
          <w:rFonts w:cs="Garamond"/>
          <w:lang w:val="en-GB"/>
        </w:rPr>
        <w:t>TsC</w:t>
      </w:r>
      <w:proofErr w:type="spellEnd"/>
      <w:r w:rsidR="001B7D81">
        <w:rPr>
          <w:rFonts w:cs="Garamond"/>
          <w:lang w:val="en-GB"/>
        </w:rPr>
        <w:t>)</w:t>
      </w:r>
      <w:r w:rsidR="009A160F">
        <w:rPr>
          <w:rFonts w:cs="Garamond"/>
          <w:lang w:val="en-GB"/>
        </w:rPr>
        <w:t>.</w:t>
      </w:r>
    </w:p>
    <w:p w14:paraId="05531F2F" w14:textId="2D88F8A7" w:rsidR="009A160F" w:rsidRDefault="009A160F" w:rsidP="00A30DD7">
      <w:pPr>
        <w:tabs>
          <w:tab w:val="num" w:pos="720"/>
          <w:tab w:val="left" w:pos="4253"/>
        </w:tabs>
        <w:overflowPunct w:val="0"/>
        <w:autoSpaceDE w:val="0"/>
        <w:autoSpaceDN w:val="0"/>
        <w:adjustRightInd w:val="0"/>
        <w:spacing w:after="0"/>
        <w:ind w:left="425" w:hanging="425"/>
        <w:rPr>
          <w:rFonts w:cs="Garamond"/>
          <w:lang w:val="en-GB"/>
        </w:rPr>
      </w:pPr>
    </w:p>
    <w:p w14:paraId="67590EE1" w14:textId="10D28A4B" w:rsidR="002B5066" w:rsidRDefault="009A160F" w:rsidP="002B5066">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 xml:space="preserve">9. </w:t>
      </w:r>
      <w:r>
        <w:rPr>
          <w:rFonts w:cs="Garamond"/>
          <w:lang w:val="en-GB"/>
        </w:rPr>
        <w:tab/>
        <w:t xml:space="preserve">In </w:t>
      </w:r>
      <w:r w:rsidR="002B5066">
        <w:rPr>
          <w:rFonts w:cs="Garamond"/>
          <w:lang w:val="en-GB"/>
        </w:rPr>
        <w:t>October</w:t>
      </w:r>
      <w:r>
        <w:rPr>
          <w:rFonts w:cs="Garamond"/>
          <w:lang w:val="en-GB"/>
        </w:rPr>
        <w:t xml:space="preserve"> 2020, </w:t>
      </w:r>
      <w:r w:rsidR="002B5066">
        <w:rPr>
          <w:rFonts w:cs="Garamond"/>
          <w:lang w:val="en-GB"/>
        </w:rPr>
        <w:t>in consultation with Australian Government, the timing of MOP11 was delayed owing to the COVID pandemic. A provisional date in late 2021 was set</w:t>
      </w:r>
      <w:r w:rsidR="001B7D81">
        <w:rPr>
          <w:rFonts w:cs="Garamond"/>
          <w:lang w:val="en-GB"/>
        </w:rPr>
        <w:t xml:space="preserve"> and to be revisited later in early 2021</w:t>
      </w:r>
      <w:r w:rsidR="002B5066">
        <w:rPr>
          <w:rFonts w:cs="Garamond"/>
          <w:lang w:val="en-GB"/>
        </w:rPr>
        <w:t xml:space="preserve">. </w:t>
      </w:r>
    </w:p>
    <w:p w14:paraId="599E9E08" w14:textId="77777777" w:rsidR="002B5066" w:rsidRDefault="002B5066" w:rsidP="002B5066">
      <w:pPr>
        <w:tabs>
          <w:tab w:val="num" w:pos="720"/>
          <w:tab w:val="left" w:pos="4253"/>
        </w:tabs>
        <w:overflowPunct w:val="0"/>
        <w:autoSpaceDE w:val="0"/>
        <w:autoSpaceDN w:val="0"/>
        <w:adjustRightInd w:val="0"/>
        <w:spacing w:after="0"/>
        <w:ind w:left="425" w:hanging="425"/>
        <w:rPr>
          <w:rFonts w:cs="Garamond"/>
          <w:lang w:val="en-GB"/>
        </w:rPr>
      </w:pPr>
    </w:p>
    <w:p w14:paraId="7AB7FAE7" w14:textId="2500BAB9" w:rsidR="009A160F" w:rsidRDefault="002B5066" w:rsidP="002B5066">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10.</w:t>
      </w:r>
      <w:r>
        <w:rPr>
          <w:rFonts w:cs="Garamond"/>
          <w:lang w:val="en-GB"/>
        </w:rPr>
        <w:tab/>
        <w:t xml:space="preserve">The </w:t>
      </w:r>
      <w:r w:rsidR="009A160F">
        <w:rPr>
          <w:rFonts w:cs="Garamond"/>
          <w:lang w:val="en-GB"/>
        </w:rPr>
        <w:t>Asian Development Bank</w:t>
      </w:r>
      <w:r>
        <w:rPr>
          <w:rFonts w:cs="Garamond"/>
          <w:lang w:val="en-GB"/>
        </w:rPr>
        <w:t xml:space="preserve"> (ADB) held a webinar in October 2020 to discuss ideas for an biodiversity initiative supported by ADB and coordinated with Birdlife International and the EAAFP Secretariat.</w:t>
      </w:r>
    </w:p>
    <w:p w14:paraId="280814CA" w14:textId="10812952" w:rsidR="002B5066" w:rsidRDefault="002B5066" w:rsidP="002B5066">
      <w:pPr>
        <w:tabs>
          <w:tab w:val="num" w:pos="720"/>
          <w:tab w:val="left" w:pos="4253"/>
        </w:tabs>
        <w:overflowPunct w:val="0"/>
        <w:autoSpaceDE w:val="0"/>
        <w:autoSpaceDN w:val="0"/>
        <w:adjustRightInd w:val="0"/>
        <w:spacing w:after="0"/>
        <w:ind w:left="425" w:hanging="425"/>
        <w:rPr>
          <w:rFonts w:cs="Garamond"/>
          <w:lang w:val="en-GB"/>
        </w:rPr>
      </w:pPr>
    </w:p>
    <w:p w14:paraId="461AEABB" w14:textId="4372A939" w:rsidR="002B5066" w:rsidRDefault="002B5066" w:rsidP="002B5066">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t>11.</w:t>
      </w:r>
      <w:r>
        <w:rPr>
          <w:rFonts w:cs="Garamond"/>
          <w:lang w:val="en-GB"/>
        </w:rPr>
        <w:tab/>
      </w:r>
      <w:r w:rsidR="00BC0800">
        <w:rPr>
          <w:rFonts w:cs="Garamond"/>
          <w:lang w:val="en-GB"/>
        </w:rPr>
        <w:t xml:space="preserve">After a change in U.S. Fish and Wildlife staffing, Robb Kaler (U.S.A.) became the new MC Chair and held the first MC meeting in April 2021. </w:t>
      </w:r>
      <w:r w:rsidR="00836E68">
        <w:rPr>
          <w:rFonts w:cs="Garamond"/>
          <w:lang w:val="en-GB"/>
        </w:rPr>
        <w:t>In May 2021, the MC Chair provided opening and closing remarks at the Paulson Institute’s launch of “Saving a Flyway”, wonderful film about conservation efforts in the Yellow Sea region created by the Paulson Institute and the Cornell Lab of Ornithology.</w:t>
      </w:r>
    </w:p>
    <w:p w14:paraId="3878E10D" w14:textId="5ADC9181" w:rsidR="0074054D" w:rsidRPr="0074054D" w:rsidRDefault="00BC0800" w:rsidP="0074054D">
      <w:pPr>
        <w:tabs>
          <w:tab w:val="num" w:pos="720"/>
          <w:tab w:val="left" w:pos="4253"/>
        </w:tabs>
        <w:overflowPunct w:val="0"/>
        <w:autoSpaceDE w:val="0"/>
        <w:autoSpaceDN w:val="0"/>
        <w:adjustRightInd w:val="0"/>
        <w:spacing w:after="0"/>
        <w:ind w:left="425" w:hanging="425"/>
        <w:rPr>
          <w:rFonts w:cs="Garamond"/>
          <w:lang w:val="en-GB"/>
        </w:rPr>
      </w:pPr>
      <w:r>
        <w:rPr>
          <w:rFonts w:cs="Garamond"/>
          <w:lang w:val="en-GB"/>
        </w:rPr>
        <w:lastRenderedPageBreak/>
        <w:t xml:space="preserve">12. </w:t>
      </w:r>
      <w:r>
        <w:rPr>
          <w:rFonts w:cs="Garamond"/>
          <w:lang w:val="en-GB"/>
        </w:rPr>
        <w:tab/>
      </w:r>
      <w:r w:rsidR="0074054D">
        <w:rPr>
          <w:rFonts w:cs="Garamond"/>
          <w:lang w:val="en-GB"/>
        </w:rPr>
        <w:t xml:space="preserve">In October-December 2021, there were many activities for </w:t>
      </w:r>
      <w:r w:rsidR="0074054D" w:rsidRPr="0074054D">
        <w:rPr>
          <w:rFonts w:cs="Garamond"/>
          <w:lang w:val="en-GB"/>
        </w:rPr>
        <w:t xml:space="preserve">ADB </w:t>
      </w:r>
      <w:r w:rsidR="001B7D81">
        <w:rPr>
          <w:rFonts w:cs="Garamond"/>
          <w:lang w:val="en-GB"/>
        </w:rPr>
        <w:t>Regional Flyway Initiative (</w:t>
      </w:r>
      <w:r w:rsidR="0074054D" w:rsidRPr="0074054D">
        <w:rPr>
          <w:rFonts w:cs="Garamond"/>
          <w:lang w:val="en-GB"/>
        </w:rPr>
        <w:t>RFI</w:t>
      </w:r>
      <w:r w:rsidR="001B7D81">
        <w:rPr>
          <w:rFonts w:cs="Garamond"/>
          <w:lang w:val="en-GB"/>
        </w:rPr>
        <w:t>)</w:t>
      </w:r>
      <w:r w:rsidR="0074054D" w:rsidRPr="0074054D">
        <w:rPr>
          <w:rFonts w:cs="Garamond"/>
          <w:lang w:val="en-GB"/>
        </w:rPr>
        <w:t xml:space="preserve"> launc</w:t>
      </w:r>
      <w:r w:rsidR="0074054D">
        <w:rPr>
          <w:rFonts w:cs="Garamond"/>
          <w:lang w:val="en-GB"/>
        </w:rPr>
        <w:t>h:</w:t>
      </w:r>
    </w:p>
    <w:p w14:paraId="105E8691" w14:textId="0CDF7373" w:rsidR="0074054D" w:rsidRPr="0074054D" w:rsidRDefault="0074054D" w:rsidP="00BD4205">
      <w:pPr>
        <w:tabs>
          <w:tab w:val="num" w:pos="720"/>
          <w:tab w:val="left" w:pos="4253"/>
        </w:tabs>
        <w:overflowPunct w:val="0"/>
        <w:autoSpaceDE w:val="0"/>
        <w:autoSpaceDN w:val="0"/>
        <w:adjustRightInd w:val="0"/>
        <w:spacing w:after="0"/>
        <w:ind w:left="540" w:hanging="90"/>
        <w:rPr>
          <w:rFonts w:cs="Garamond"/>
          <w:lang w:val="en-GB"/>
        </w:rPr>
      </w:pPr>
      <w:r w:rsidRPr="0074054D">
        <w:rPr>
          <w:rFonts w:cs="Garamond"/>
          <w:lang w:val="en-GB"/>
        </w:rPr>
        <w:t>1) EAAFP Webinar for RFI Government Focal Points on the ADB Regional Flyway Initiative on 6 October 2021</w:t>
      </w:r>
    </w:p>
    <w:p w14:paraId="155D3029" w14:textId="29BA2AE6" w:rsidR="0074054D" w:rsidRPr="0074054D" w:rsidRDefault="0074054D" w:rsidP="00BD4205">
      <w:pPr>
        <w:tabs>
          <w:tab w:val="num" w:pos="720"/>
          <w:tab w:val="left" w:pos="4253"/>
        </w:tabs>
        <w:overflowPunct w:val="0"/>
        <w:autoSpaceDE w:val="0"/>
        <w:autoSpaceDN w:val="0"/>
        <w:adjustRightInd w:val="0"/>
        <w:spacing w:after="0"/>
        <w:ind w:left="540" w:hanging="90"/>
        <w:rPr>
          <w:rFonts w:cs="Garamond"/>
          <w:lang w:val="en-GB"/>
        </w:rPr>
      </w:pPr>
      <w:r w:rsidRPr="0074054D">
        <w:rPr>
          <w:rFonts w:cs="Garamond"/>
          <w:lang w:val="en-GB"/>
        </w:rPr>
        <w:t>2) The RFI official launching at 15th Conference of the Parties of the Convention on Biological Diversity (CBD COP15) in Kunming, People’s Republic of China on 14 October 2021</w:t>
      </w:r>
    </w:p>
    <w:p w14:paraId="330D5350" w14:textId="1595C35A" w:rsidR="0074054D" w:rsidRPr="0074054D" w:rsidRDefault="0074054D" w:rsidP="00BD4205">
      <w:pPr>
        <w:tabs>
          <w:tab w:val="num" w:pos="720"/>
          <w:tab w:val="left" w:pos="4253"/>
        </w:tabs>
        <w:overflowPunct w:val="0"/>
        <w:autoSpaceDE w:val="0"/>
        <w:autoSpaceDN w:val="0"/>
        <w:adjustRightInd w:val="0"/>
        <w:spacing w:after="0"/>
        <w:ind w:left="540" w:hanging="90"/>
        <w:rPr>
          <w:rFonts w:cs="Garamond"/>
          <w:lang w:val="en-GB"/>
        </w:rPr>
      </w:pPr>
      <w:r w:rsidRPr="0074054D">
        <w:rPr>
          <w:rFonts w:cs="Garamond"/>
          <w:lang w:val="en-GB"/>
        </w:rPr>
        <w:t>3) The second RFI launching at UNFCCC COP26 in Glasgow, UK on 2 November 2021</w:t>
      </w:r>
    </w:p>
    <w:p w14:paraId="2141E34E" w14:textId="3938B405" w:rsidR="0074054D" w:rsidRPr="0074054D" w:rsidRDefault="0074054D" w:rsidP="00BD4205">
      <w:pPr>
        <w:tabs>
          <w:tab w:val="num" w:pos="720"/>
          <w:tab w:val="left" w:pos="4253"/>
        </w:tabs>
        <w:overflowPunct w:val="0"/>
        <w:autoSpaceDE w:val="0"/>
        <w:autoSpaceDN w:val="0"/>
        <w:adjustRightInd w:val="0"/>
        <w:spacing w:after="0"/>
        <w:ind w:left="540" w:hanging="90"/>
        <w:rPr>
          <w:rFonts w:cs="Garamond"/>
          <w:lang w:val="en-GB"/>
        </w:rPr>
      </w:pPr>
      <w:r w:rsidRPr="0074054D">
        <w:rPr>
          <w:rFonts w:cs="Garamond"/>
          <w:lang w:val="en-GB"/>
        </w:rPr>
        <w:t>4) A presentation at a webinar “Discussing The East Asian – Australasian Flyway Initiative” with CEO of GEF, CEO of Birdlife International and ADB on 10 November 2021</w:t>
      </w:r>
    </w:p>
    <w:p w14:paraId="3376A30C" w14:textId="1C0C615D" w:rsidR="00BC0800" w:rsidRDefault="0074054D" w:rsidP="0074054D">
      <w:pPr>
        <w:tabs>
          <w:tab w:val="num" w:pos="720"/>
          <w:tab w:val="left" w:pos="4253"/>
        </w:tabs>
        <w:overflowPunct w:val="0"/>
        <w:autoSpaceDE w:val="0"/>
        <w:autoSpaceDN w:val="0"/>
        <w:adjustRightInd w:val="0"/>
        <w:spacing w:after="0"/>
        <w:ind w:left="540" w:hanging="90"/>
        <w:rPr>
          <w:rFonts w:cs="Garamond"/>
          <w:lang w:val="en-GB"/>
        </w:rPr>
      </w:pPr>
      <w:r w:rsidRPr="0074054D">
        <w:rPr>
          <w:rFonts w:cs="Garamond"/>
          <w:lang w:val="en-GB"/>
        </w:rPr>
        <w:t>5) RFI Technical Assistance Inception Workshop on 6-7 December 2021</w:t>
      </w:r>
      <w:r>
        <w:rPr>
          <w:rFonts w:cs="Garamond"/>
          <w:lang w:val="en-GB"/>
        </w:rPr>
        <w:t>, over 100 people attending and opening remarks provided by the EAAFP Chair</w:t>
      </w:r>
      <w:r w:rsidR="001B7D81">
        <w:rPr>
          <w:rFonts w:cs="Garamond"/>
          <w:lang w:val="en-GB"/>
        </w:rPr>
        <w:t>.</w:t>
      </w:r>
    </w:p>
    <w:p w14:paraId="21FFF252" w14:textId="72FFFCD7" w:rsidR="001B7D81" w:rsidRDefault="001B7D81" w:rsidP="001B7D81">
      <w:pPr>
        <w:tabs>
          <w:tab w:val="num" w:pos="720"/>
          <w:tab w:val="left" w:pos="4253"/>
        </w:tabs>
        <w:overflowPunct w:val="0"/>
        <w:autoSpaceDE w:val="0"/>
        <w:autoSpaceDN w:val="0"/>
        <w:adjustRightInd w:val="0"/>
        <w:spacing w:after="0"/>
        <w:rPr>
          <w:rFonts w:cs="Garamond"/>
          <w:lang w:val="en-GB"/>
        </w:rPr>
      </w:pPr>
    </w:p>
    <w:p w14:paraId="6193C821" w14:textId="34783E57" w:rsidR="001B7D81" w:rsidRDefault="001B7D81" w:rsidP="001B7D81">
      <w:pPr>
        <w:tabs>
          <w:tab w:val="num" w:pos="720"/>
          <w:tab w:val="left" w:pos="4253"/>
        </w:tabs>
        <w:overflowPunct w:val="0"/>
        <w:autoSpaceDE w:val="0"/>
        <w:autoSpaceDN w:val="0"/>
        <w:adjustRightInd w:val="0"/>
        <w:spacing w:after="0"/>
        <w:rPr>
          <w:rFonts w:cs="Garamond"/>
          <w:lang w:val="en-GB"/>
        </w:rPr>
      </w:pPr>
      <w:r>
        <w:rPr>
          <w:rFonts w:cs="Garamond"/>
          <w:lang w:val="en-GB"/>
        </w:rPr>
        <w:t xml:space="preserve">13. In December, the MC conducted a review in preparation of renewing the CE contract. The CE had highly positive evaluations from all MC members and the CE contract was renewed my March 2022. In early April 2022, the CE informed the MC that following MOP11 in Brisbane, he would likely step down as CE. </w:t>
      </w:r>
      <w:r w:rsidR="00FC7B69">
        <w:rPr>
          <w:rFonts w:cs="Garamond"/>
          <w:lang w:val="en-GB"/>
        </w:rPr>
        <w:t>In October 2022, CE advised the MC to initiate a Hiring Committee to recruit a new CE.</w:t>
      </w:r>
    </w:p>
    <w:p w14:paraId="2CFBE7B6" w14:textId="77777777" w:rsidR="005F325E" w:rsidRPr="0010589D" w:rsidRDefault="005F325E" w:rsidP="00127F46">
      <w:pPr>
        <w:overflowPunct w:val="0"/>
        <w:autoSpaceDE w:val="0"/>
        <w:autoSpaceDN w:val="0"/>
        <w:adjustRightInd w:val="0"/>
        <w:spacing w:after="0" w:line="240" w:lineRule="auto"/>
        <w:rPr>
          <w:color w:val="0033CC"/>
        </w:rPr>
      </w:pPr>
    </w:p>
    <w:p w14:paraId="301CC3BD" w14:textId="2B5FE041" w:rsidR="00D371FA" w:rsidRPr="002320F7" w:rsidRDefault="00D371FA" w:rsidP="00D371FA">
      <w:pPr>
        <w:widowControl w:val="0"/>
        <w:autoSpaceDE w:val="0"/>
        <w:autoSpaceDN w:val="0"/>
        <w:adjustRightInd w:val="0"/>
        <w:spacing w:after="0" w:line="240" w:lineRule="auto"/>
        <w:rPr>
          <w:u w:val="single"/>
          <w:lang w:val="en-GB"/>
        </w:rPr>
      </w:pPr>
      <w:r w:rsidRPr="002320F7">
        <w:rPr>
          <w:rFonts w:cs="Garamond"/>
          <w:bCs/>
          <w:u w:val="single"/>
          <w:lang w:val="en-GB"/>
        </w:rPr>
        <w:t>Conclusions and acknowledgements</w:t>
      </w:r>
    </w:p>
    <w:p w14:paraId="5A8DE5FA" w14:textId="77777777" w:rsidR="00D371FA" w:rsidRPr="00294D49" w:rsidRDefault="00D371FA" w:rsidP="00D371FA">
      <w:pPr>
        <w:autoSpaceDE w:val="0"/>
        <w:autoSpaceDN w:val="0"/>
        <w:adjustRightInd w:val="0"/>
        <w:spacing w:after="0" w:line="240" w:lineRule="auto"/>
        <w:rPr>
          <w:rFonts w:cs="Garamond"/>
          <w:bCs/>
          <w:u w:val="single"/>
          <w:lang w:val="en-GB"/>
        </w:rPr>
      </w:pPr>
    </w:p>
    <w:p w14:paraId="241EEFAC" w14:textId="105E40F6" w:rsidR="00D371FA" w:rsidRDefault="00BD4205" w:rsidP="00D371FA">
      <w:pPr>
        <w:overflowPunct w:val="0"/>
        <w:autoSpaceDE w:val="0"/>
        <w:autoSpaceDN w:val="0"/>
        <w:adjustRightInd w:val="0"/>
        <w:spacing w:after="0" w:line="240" w:lineRule="auto"/>
        <w:ind w:left="425" w:hanging="425"/>
        <w:rPr>
          <w:rFonts w:cs="Garamond"/>
          <w:lang w:val="en-GB"/>
        </w:rPr>
      </w:pPr>
      <w:r>
        <w:rPr>
          <w:rFonts w:cs="Garamond"/>
          <w:lang w:val="en-GB"/>
        </w:rPr>
        <w:t>13</w:t>
      </w:r>
      <w:r w:rsidR="00D371FA" w:rsidRPr="000F2F97">
        <w:rPr>
          <w:rFonts w:cs="Garamond"/>
          <w:lang w:val="en-GB"/>
        </w:rPr>
        <w:t>.</w:t>
      </w:r>
      <w:r w:rsidR="00D371FA" w:rsidRPr="000F2F97">
        <w:rPr>
          <w:rFonts w:cs="Garamond"/>
          <w:lang w:val="en-GB"/>
        </w:rPr>
        <w:tab/>
        <w:t>As Chair of the Management Committee I would like to thank all the members of the Committee</w:t>
      </w:r>
      <w:r w:rsidR="00FC7B69">
        <w:rPr>
          <w:rFonts w:cs="Garamond"/>
          <w:lang w:val="en-GB"/>
        </w:rPr>
        <w:t xml:space="preserve"> and the Secretariat</w:t>
      </w:r>
      <w:r w:rsidR="00D371FA" w:rsidRPr="000F2F97">
        <w:rPr>
          <w:rFonts w:cs="Garamond"/>
          <w:lang w:val="en-GB"/>
        </w:rPr>
        <w:t xml:space="preserve"> for their strong support during the course of the past </w:t>
      </w:r>
      <w:r w:rsidR="00FC7B69">
        <w:rPr>
          <w:rFonts w:cs="Garamond"/>
          <w:lang w:val="en-GB"/>
        </w:rPr>
        <w:t>four years</w:t>
      </w:r>
      <w:r w:rsidR="00D371FA" w:rsidRPr="000F2F97">
        <w:rPr>
          <w:rFonts w:cs="Garamond"/>
          <w:lang w:val="en-GB"/>
        </w:rPr>
        <w:t>. Their active commitment and their constructive attitude to the work of the Partnership have contributed significantly to the progress of its tasks.</w:t>
      </w:r>
    </w:p>
    <w:p w14:paraId="560D7110" w14:textId="5CB74E39" w:rsidR="00FC7B69" w:rsidRDefault="00FC7B69" w:rsidP="00D371FA">
      <w:pPr>
        <w:overflowPunct w:val="0"/>
        <w:autoSpaceDE w:val="0"/>
        <w:autoSpaceDN w:val="0"/>
        <w:adjustRightInd w:val="0"/>
        <w:spacing w:after="0" w:line="240" w:lineRule="auto"/>
        <w:ind w:left="425" w:hanging="425"/>
        <w:rPr>
          <w:rFonts w:cs="Garamond"/>
          <w:lang w:val="en-GB"/>
        </w:rPr>
      </w:pPr>
    </w:p>
    <w:p w14:paraId="7F40D19F" w14:textId="07A807BF" w:rsidR="00FC7B69" w:rsidRDefault="00FC7B69" w:rsidP="00D371FA">
      <w:pPr>
        <w:overflowPunct w:val="0"/>
        <w:autoSpaceDE w:val="0"/>
        <w:autoSpaceDN w:val="0"/>
        <w:adjustRightInd w:val="0"/>
        <w:spacing w:after="0" w:line="240" w:lineRule="auto"/>
        <w:ind w:left="425" w:hanging="425"/>
        <w:rPr>
          <w:rFonts w:cs="Garamond"/>
          <w:lang w:val="en-GB"/>
        </w:rPr>
      </w:pPr>
      <w:r>
        <w:rPr>
          <w:rFonts w:cs="Garamond"/>
          <w:lang w:val="en-GB"/>
        </w:rPr>
        <w:t>14.</w:t>
      </w:r>
      <w:r>
        <w:rPr>
          <w:rFonts w:cs="Garamond"/>
          <w:lang w:val="en-GB"/>
        </w:rPr>
        <w:tab/>
        <w:t>Additionally, the Management Committee would like to thank Doug Watkins for his excellent work and dedication to the success of the Secretariat while serving as the C</w:t>
      </w:r>
      <w:r w:rsidR="001C3BC1">
        <w:rPr>
          <w:rFonts w:cs="Garamond"/>
          <w:lang w:val="en-GB"/>
        </w:rPr>
        <w:t xml:space="preserve">hief Executive </w:t>
      </w:r>
    </w:p>
    <w:p w14:paraId="1F098F37" w14:textId="77E937EA" w:rsidR="00BD4205" w:rsidRDefault="00BD4205" w:rsidP="00D371FA">
      <w:pPr>
        <w:overflowPunct w:val="0"/>
        <w:autoSpaceDE w:val="0"/>
        <w:autoSpaceDN w:val="0"/>
        <w:adjustRightInd w:val="0"/>
        <w:spacing w:after="0" w:line="240" w:lineRule="auto"/>
        <w:ind w:left="425" w:hanging="425"/>
        <w:rPr>
          <w:rFonts w:cs="Garamond"/>
          <w:lang w:val="en-GB"/>
        </w:rPr>
      </w:pPr>
    </w:p>
    <w:p w14:paraId="029F68DE" w14:textId="237169B7" w:rsidR="001C3BC1" w:rsidRDefault="001C3BC1" w:rsidP="00D371FA">
      <w:pPr>
        <w:spacing w:after="0" w:line="240" w:lineRule="auto"/>
        <w:rPr>
          <w:lang w:val="pt-BR"/>
        </w:rPr>
      </w:pPr>
    </w:p>
    <w:p w14:paraId="02928401" w14:textId="0C373F10" w:rsidR="00BD4205" w:rsidRDefault="00BD4205">
      <w:pPr>
        <w:rPr>
          <w:b/>
          <w:sz w:val="28"/>
          <w:szCs w:val="28"/>
        </w:rPr>
      </w:pPr>
      <w:r>
        <w:rPr>
          <w:b/>
          <w:sz w:val="28"/>
          <w:szCs w:val="28"/>
        </w:rPr>
        <w:br w:type="page"/>
      </w:r>
    </w:p>
    <w:p w14:paraId="65EDC803" w14:textId="77777777" w:rsidR="001C3BC1" w:rsidRDefault="001C3BC1" w:rsidP="00BD4205">
      <w:pPr>
        <w:jc w:val="center"/>
        <w:rPr>
          <w:b/>
        </w:rPr>
      </w:pPr>
    </w:p>
    <w:p w14:paraId="0F89706B" w14:textId="543DE7AD" w:rsidR="00BD4205" w:rsidRPr="001C3BC1" w:rsidRDefault="00BD4205" w:rsidP="00BD4205">
      <w:pPr>
        <w:jc w:val="center"/>
        <w:rPr>
          <w:b/>
          <w:sz w:val="24"/>
          <w:szCs w:val="24"/>
        </w:rPr>
      </w:pPr>
      <w:r w:rsidRPr="001C3BC1">
        <w:rPr>
          <w:b/>
          <w:sz w:val="24"/>
          <w:szCs w:val="24"/>
        </w:rPr>
        <w:t>Technical Sub-committee (</w:t>
      </w:r>
      <w:proofErr w:type="spellStart"/>
      <w:r w:rsidRPr="001C3BC1">
        <w:rPr>
          <w:b/>
          <w:sz w:val="24"/>
          <w:szCs w:val="24"/>
        </w:rPr>
        <w:t>TSc</w:t>
      </w:r>
      <w:proofErr w:type="spellEnd"/>
      <w:r w:rsidRPr="001C3BC1">
        <w:rPr>
          <w:b/>
          <w:sz w:val="24"/>
          <w:szCs w:val="24"/>
        </w:rPr>
        <w:t>) report to EAAFP MOP11</w:t>
      </w:r>
    </w:p>
    <w:p w14:paraId="26AA817A" w14:textId="77777777" w:rsidR="00BD4205" w:rsidRDefault="00BD4205" w:rsidP="00BD4205">
      <w:pPr>
        <w:rPr>
          <w:b/>
        </w:rPr>
      </w:pPr>
    </w:p>
    <w:p w14:paraId="7635FF88" w14:textId="77777777" w:rsidR="00BD4205" w:rsidRPr="00951872" w:rsidRDefault="00BD4205" w:rsidP="00BD4205">
      <w:pPr>
        <w:rPr>
          <w:rFonts w:cstheme="minorHAnsi"/>
          <w:b/>
        </w:rPr>
      </w:pPr>
      <w:r w:rsidRPr="00951872">
        <w:rPr>
          <w:rFonts w:cstheme="minorHAnsi"/>
          <w:b/>
        </w:rPr>
        <w:t>Background and history</w:t>
      </w:r>
    </w:p>
    <w:p w14:paraId="1098F8EC" w14:textId="77777777" w:rsidR="00BD4205" w:rsidRDefault="00BD4205" w:rsidP="00BD4205">
      <w:pPr>
        <w:pStyle w:val="NormalWeb"/>
        <w:rPr>
          <w:rFonts w:asciiTheme="minorHAnsi" w:hAnsiTheme="minorHAnsi" w:cstheme="minorHAnsi"/>
          <w:bCs/>
          <w:sz w:val="22"/>
          <w:szCs w:val="22"/>
        </w:rPr>
      </w:pPr>
      <w:r w:rsidRPr="00951872">
        <w:rPr>
          <w:rFonts w:asciiTheme="minorHAnsi" w:hAnsiTheme="minorHAnsi" w:cstheme="minorHAnsi"/>
          <w:sz w:val="22"/>
          <w:szCs w:val="22"/>
        </w:rPr>
        <w:t>1. The establishment of an EAAFP Technical Committee was first introduced at EAAFP MOP9</w:t>
      </w:r>
      <w:r w:rsidRPr="00376EC8">
        <w:rPr>
          <w:rFonts w:asciiTheme="minorHAnsi" w:hAnsiTheme="minorHAnsi" w:cstheme="minorHAnsi"/>
          <w:sz w:val="22"/>
          <w:szCs w:val="22"/>
        </w:rPr>
        <w:t xml:space="preserve"> (Singapore, 2017), which adopted MOP9 Decision 7 (</w:t>
      </w:r>
      <w:r w:rsidRPr="00376EC8">
        <w:rPr>
          <w:rFonts w:asciiTheme="minorHAnsi" w:hAnsiTheme="minorHAnsi" w:cstheme="minorHAnsi"/>
          <w:bCs/>
          <w:sz w:val="22"/>
          <w:szCs w:val="22"/>
        </w:rPr>
        <w:t xml:space="preserve">Establishment of the Technical Committee of the East Asian – Australasian Flyway Partnership). </w:t>
      </w:r>
      <w:r>
        <w:rPr>
          <w:rFonts w:asciiTheme="minorHAnsi" w:hAnsiTheme="minorHAnsi" w:cstheme="minorHAnsi"/>
          <w:bCs/>
          <w:sz w:val="22"/>
          <w:szCs w:val="22"/>
        </w:rPr>
        <w:t>This Decision established initial Terms of Reference and Rules of Procedure for the newly established Technical Committee.</w:t>
      </w:r>
    </w:p>
    <w:p w14:paraId="57923A98" w14:textId="77777777" w:rsidR="00BD4205" w:rsidRPr="00376EC8" w:rsidRDefault="00BD4205" w:rsidP="00BD4205">
      <w:pPr>
        <w:pStyle w:val="NormalWeb"/>
        <w:rPr>
          <w:rFonts w:asciiTheme="minorHAnsi" w:hAnsiTheme="minorHAnsi" w:cstheme="minorHAnsi"/>
          <w:sz w:val="22"/>
          <w:szCs w:val="22"/>
        </w:rPr>
      </w:pPr>
      <w:r>
        <w:rPr>
          <w:rFonts w:asciiTheme="minorHAnsi" w:hAnsiTheme="minorHAnsi" w:cstheme="minorHAnsi"/>
          <w:sz w:val="22"/>
          <w:szCs w:val="22"/>
        </w:rPr>
        <w:t xml:space="preserve">2. MOP9 Decision 7 recognised that prior to this the Partnership had agreed to establish an increasing number of thematic and species-specific Working Groups and Task Forces, which reported directly to Partners at each MOP (NB this is still the case).  </w:t>
      </w:r>
    </w:p>
    <w:p w14:paraId="1FDEB04A" w14:textId="77777777" w:rsidR="00BD4205" w:rsidRDefault="00BD4205" w:rsidP="00BD4205">
      <w:pPr>
        <w:spacing w:before="100" w:beforeAutospacing="1" w:after="100" w:afterAutospacing="1"/>
        <w:rPr>
          <w:rFonts w:ascii="Calibri" w:hAnsi="Calibri" w:cs="Calibri"/>
        </w:rPr>
      </w:pPr>
      <w:r>
        <w:rPr>
          <w:rFonts w:ascii="Calibri" w:hAnsi="Calibri" w:cs="Calibri"/>
          <w:iCs/>
        </w:rPr>
        <w:t>3. Amongst other things, MOP9 Decision 7 “</w:t>
      </w:r>
      <w:r w:rsidRPr="008E6287">
        <w:rPr>
          <w:rFonts w:ascii="Calibri" w:hAnsi="Calibri" w:cs="Calibri"/>
          <w:i/>
          <w:iCs/>
        </w:rPr>
        <w:t xml:space="preserve">Instructs </w:t>
      </w:r>
      <w:r w:rsidRPr="008E6287">
        <w:rPr>
          <w:rFonts w:ascii="Calibri" w:hAnsi="Calibri" w:cs="Calibri"/>
        </w:rPr>
        <w:t>the Secretariat and Management Committee, in consultation with Partners, to develop a selection process, seek nominations of qualified experts and appoint, on an interim basis, a Technical Committee as soon as practicable following the 9</w:t>
      </w:r>
      <w:proofErr w:type="spellStart"/>
      <w:r w:rsidRPr="008E6287">
        <w:rPr>
          <w:rFonts w:ascii="Calibri" w:hAnsi="Calibri" w:cs="Calibri"/>
          <w:position w:val="8"/>
          <w:sz w:val="14"/>
          <w:szCs w:val="14"/>
        </w:rPr>
        <w:t>th</w:t>
      </w:r>
      <w:proofErr w:type="spellEnd"/>
      <w:r w:rsidRPr="008E6287">
        <w:rPr>
          <w:rFonts w:ascii="Calibri" w:hAnsi="Calibri" w:cs="Calibri"/>
          <w:position w:val="8"/>
          <w:sz w:val="14"/>
          <w:szCs w:val="14"/>
        </w:rPr>
        <w:t xml:space="preserve"> </w:t>
      </w:r>
      <w:r w:rsidRPr="008E6287">
        <w:rPr>
          <w:rFonts w:ascii="Calibri" w:hAnsi="Calibri" w:cs="Calibri"/>
        </w:rPr>
        <w:t>Meeting of the Partners</w:t>
      </w:r>
      <w:r>
        <w:rPr>
          <w:rFonts w:ascii="Calibri" w:hAnsi="Calibri" w:cs="Calibri"/>
        </w:rPr>
        <w:t>”. Initial Terms of Reference and Rules of Procedure were adopted by MOP9 Decision 7.</w:t>
      </w:r>
    </w:p>
    <w:p w14:paraId="3D1DBCE8" w14:textId="77777777" w:rsidR="00BD4205" w:rsidRPr="00F30FD9" w:rsidRDefault="00BD4205" w:rsidP="00BD4205">
      <w:pPr>
        <w:spacing w:before="100" w:beforeAutospacing="1" w:after="100" w:afterAutospacing="1"/>
        <w:rPr>
          <w:rFonts w:cstheme="minorHAnsi"/>
        </w:rPr>
      </w:pPr>
      <w:r w:rsidRPr="00F30FD9">
        <w:rPr>
          <w:rFonts w:cstheme="minorHAnsi"/>
        </w:rPr>
        <w:t>4. Accordingly, an interim Technical Committee membership was established inter-</w:t>
      </w:r>
      <w:proofErr w:type="spellStart"/>
      <w:r w:rsidRPr="00F30FD9">
        <w:rPr>
          <w:rFonts w:cstheme="minorHAnsi"/>
        </w:rPr>
        <w:t>sessionally</w:t>
      </w:r>
      <w:proofErr w:type="spellEnd"/>
      <w:r w:rsidRPr="00F30FD9">
        <w:rPr>
          <w:rFonts w:cstheme="minorHAnsi"/>
        </w:rPr>
        <w:t xml:space="preserve"> before MOP10. Nine members of the interim Technical Committee were approved by the Management Committee in March 2018. Subsequently Prof Nick Davidson was appointed as Chair of the interim Committee.</w:t>
      </w:r>
    </w:p>
    <w:p w14:paraId="38E4E8B3" w14:textId="77777777" w:rsidR="00BD4205" w:rsidRPr="00F30FD9" w:rsidRDefault="00BD4205" w:rsidP="00BD4205">
      <w:pPr>
        <w:spacing w:before="100" w:beforeAutospacing="1" w:after="100" w:afterAutospacing="1"/>
        <w:rPr>
          <w:rFonts w:cstheme="minorHAnsi"/>
        </w:rPr>
      </w:pPr>
      <w:r w:rsidRPr="00F30FD9">
        <w:rPr>
          <w:rFonts w:cstheme="minorHAnsi"/>
        </w:rPr>
        <w:t>5. At MOP10 (China, 2018), MOP10 Decision 4 approved amended Technical Committee Terms of Reference and Rules of Procedure and fully appointed Technical Committee members on the basis of nominations by Partners.</w:t>
      </w:r>
    </w:p>
    <w:p w14:paraId="40BFDB64" w14:textId="77777777" w:rsidR="00BD4205" w:rsidRPr="00F30FD9" w:rsidRDefault="00BD4205" w:rsidP="00BD4205">
      <w:pPr>
        <w:spacing w:before="100" w:beforeAutospacing="1" w:after="100" w:afterAutospacing="1"/>
        <w:rPr>
          <w:rFonts w:cstheme="minorHAnsi"/>
        </w:rPr>
      </w:pPr>
      <w:r w:rsidRPr="00F30FD9">
        <w:rPr>
          <w:rFonts w:cstheme="minorHAnsi"/>
        </w:rPr>
        <w:t>6. MOP10 Decision 4 formally established the Technical Committee (as a Sub-</w:t>
      </w:r>
      <w:r>
        <w:rPr>
          <w:rFonts w:cstheme="minorHAnsi"/>
        </w:rPr>
        <w:t>c</w:t>
      </w:r>
      <w:r w:rsidRPr="00F30FD9">
        <w:rPr>
          <w:rFonts w:cstheme="minorHAnsi"/>
        </w:rPr>
        <w:t xml:space="preserve">ommittee of the Management Committee) and its </w:t>
      </w:r>
      <w:proofErr w:type="spellStart"/>
      <w:r w:rsidRPr="00F30FD9">
        <w:rPr>
          <w:rFonts w:cstheme="minorHAnsi"/>
        </w:rPr>
        <w:t>ToR</w:t>
      </w:r>
      <w:proofErr w:type="spellEnd"/>
      <w:r w:rsidRPr="00F30FD9">
        <w:rPr>
          <w:rFonts w:cstheme="minorHAnsi"/>
        </w:rPr>
        <w:t>/</w:t>
      </w:r>
      <w:proofErr w:type="spellStart"/>
      <w:r w:rsidRPr="00F30FD9">
        <w:rPr>
          <w:rFonts w:cstheme="minorHAnsi"/>
        </w:rPr>
        <w:t>RoP</w:t>
      </w:r>
      <w:proofErr w:type="spellEnd"/>
      <w:r w:rsidRPr="00F30FD9">
        <w:rPr>
          <w:rFonts w:cstheme="minorHAnsi"/>
        </w:rPr>
        <w:t>, on the basis that its composition is:</w:t>
      </w:r>
    </w:p>
    <w:p w14:paraId="1B50664B" w14:textId="77777777" w:rsidR="00BD4205" w:rsidRPr="00F30FD9" w:rsidRDefault="00BD4205" w:rsidP="00BD4205">
      <w:pPr>
        <w:pStyle w:val="ListParagraph"/>
        <w:numPr>
          <w:ilvl w:val="0"/>
          <w:numId w:val="14"/>
        </w:numPr>
        <w:spacing w:before="100" w:beforeAutospacing="1" w:after="100" w:afterAutospacing="1" w:line="240" w:lineRule="auto"/>
        <w:rPr>
          <w:rFonts w:cstheme="minorHAnsi"/>
        </w:rPr>
      </w:pPr>
      <w:r w:rsidRPr="00F30FD9">
        <w:rPr>
          <w:rFonts w:cstheme="minorHAnsi"/>
        </w:rPr>
        <w:t>Up to 10 Technical Committee members, nominated by EAAFP Partners are appointed by MOP decision.</w:t>
      </w:r>
    </w:p>
    <w:p w14:paraId="7671125A" w14:textId="77777777" w:rsidR="00BD4205" w:rsidRPr="00F30FD9" w:rsidRDefault="00BD4205" w:rsidP="00BD4205">
      <w:pPr>
        <w:pStyle w:val="ListParagraph"/>
        <w:numPr>
          <w:ilvl w:val="0"/>
          <w:numId w:val="14"/>
        </w:numPr>
        <w:spacing w:before="100" w:beforeAutospacing="1" w:after="100" w:afterAutospacing="1" w:line="240" w:lineRule="auto"/>
        <w:rPr>
          <w:rFonts w:cstheme="minorHAnsi"/>
        </w:rPr>
      </w:pPr>
      <w:r w:rsidRPr="00F30FD9">
        <w:rPr>
          <w:rFonts w:cstheme="minorHAnsi"/>
        </w:rPr>
        <w:t xml:space="preserve">Technical Committee members are appointed in their own right for their expertise, and do not represent either their </w:t>
      </w:r>
      <w:proofErr w:type="spellStart"/>
      <w:r w:rsidRPr="00F30FD9">
        <w:rPr>
          <w:rFonts w:cstheme="minorHAnsi"/>
        </w:rPr>
        <w:t>organisation</w:t>
      </w:r>
      <w:proofErr w:type="spellEnd"/>
      <w:r w:rsidRPr="00F30FD9">
        <w:rPr>
          <w:rFonts w:cstheme="minorHAnsi"/>
        </w:rPr>
        <w:t xml:space="preserve"> or their country affiliation.</w:t>
      </w:r>
    </w:p>
    <w:p w14:paraId="6AD9EEFE" w14:textId="77777777" w:rsidR="00BD4205" w:rsidRPr="00F30FD9" w:rsidRDefault="00BD4205" w:rsidP="00BD4205">
      <w:pPr>
        <w:spacing w:before="100" w:beforeAutospacing="1" w:after="100" w:afterAutospacing="1"/>
        <w:rPr>
          <w:rFonts w:cstheme="minorHAnsi"/>
        </w:rPr>
      </w:pPr>
      <w:r w:rsidRPr="00F30FD9">
        <w:rPr>
          <w:rFonts w:cstheme="minorHAnsi"/>
        </w:rPr>
        <w:t xml:space="preserve">7. At MOP10, nine Technical Committee members were appointed (Annex 1), and subsequently the members appointed Prof Nick Davidson as Chair and </w:t>
      </w:r>
      <w:proofErr w:type="spellStart"/>
      <w:r w:rsidRPr="00F30FD9">
        <w:rPr>
          <w:rFonts w:cstheme="minorHAnsi"/>
        </w:rPr>
        <w:t>Mr</w:t>
      </w:r>
      <w:proofErr w:type="spellEnd"/>
      <w:r w:rsidRPr="00F30FD9">
        <w:rPr>
          <w:rFonts w:cstheme="minorHAnsi"/>
        </w:rPr>
        <w:t xml:space="preserve"> David Melville as Vice-Chair.</w:t>
      </w:r>
    </w:p>
    <w:p w14:paraId="45B2807B" w14:textId="77777777" w:rsidR="00BD4205" w:rsidRPr="00F30FD9" w:rsidRDefault="00BD4205" w:rsidP="00BD4205">
      <w:pPr>
        <w:spacing w:before="100" w:beforeAutospacing="1" w:after="100" w:afterAutospacing="1"/>
        <w:rPr>
          <w:rFonts w:cstheme="minorHAnsi"/>
        </w:rPr>
      </w:pPr>
      <w:r w:rsidRPr="00F30FD9">
        <w:rPr>
          <w:rFonts w:cstheme="minorHAnsi"/>
        </w:rPr>
        <w:t>8. After MOP10, an appointment was proposed to fill the vacant (10</w:t>
      </w:r>
      <w:r w:rsidRPr="00F30FD9">
        <w:rPr>
          <w:rFonts w:cstheme="minorHAnsi"/>
          <w:vertAlign w:val="superscript"/>
        </w:rPr>
        <w:t>th</w:t>
      </w:r>
      <w:r w:rsidRPr="00F30FD9">
        <w:rPr>
          <w:rFonts w:cstheme="minorHAnsi"/>
        </w:rPr>
        <w:t xml:space="preserve">) </w:t>
      </w:r>
      <w:proofErr w:type="spellStart"/>
      <w:r>
        <w:rPr>
          <w:rFonts w:cstheme="minorHAnsi"/>
        </w:rPr>
        <w:t>TSc</w:t>
      </w:r>
      <w:proofErr w:type="spellEnd"/>
      <w:r w:rsidRPr="00F30FD9">
        <w:rPr>
          <w:rFonts w:cstheme="minorHAnsi"/>
        </w:rPr>
        <w:t xml:space="preserve"> member place. However, after reviewing the </w:t>
      </w:r>
      <w:proofErr w:type="spellStart"/>
      <w:r>
        <w:rPr>
          <w:rFonts w:cstheme="minorHAnsi"/>
        </w:rPr>
        <w:t>TSc</w:t>
      </w:r>
      <w:proofErr w:type="spellEnd"/>
      <w:r w:rsidRPr="00F30FD9">
        <w:rPr>
          <w:rFonts w:cstheme="minorHAnsi"/>
        </w:rPr>
        <w:t xml:space="preserve"> Rules of Procedure it became clear that this was not possible. In the event, it was agreed that the </w:t>
      </w:r>
      <w:proofErr w:type="spellStart"/>
      <w:r>
        <w:rPr>
          <w:rFonts w:cstheme="minorHAnsi"/>
        </w:rPr>
        <w:t>TSc</w:t>
      </w:r>
      <w:proofErr w:type="spellEnd"/>
      <w:r w:rsidRPr="00F30FD9">
        <w:rPr>
          <w:rFonts w:cstheme="minorHAnsi"/>
        </w:rPr>
        <w:t xml:space="preserve"> Chair could invite such a person as an “invited expert” and this was done. MOP11 DD3 proposes amendments to the </w:t>
      </w:r>
      <w:proofErr w:type="spellStart"/>
      <w:r>
        <w:rPr>
          <w:rFonts w:cstheme="minorHAnsi"/>
        </w:rPr>
        <w:t>TSc</w:t>
      </w:r>
      <w:proofErr w:type="spellEnd"/>
      <w:r w:rsidRPr="00F30FD9">
        <w:rPr>
          <w:rFonts w:cstheme="minorHAnsi"/>
        </w:rPr>
        <w:t xml:space="preserve"> </w:t>
      </w:r>
      <w:proofErr w:type="spellStart"/>
      <w:r w:rsidRPr="00F30FD9">
        <w:rPr>
          <w:rFonts w:cstheme="minorHAnsi"/>
        </w:rPr>
        <w:t>RoP</w:t>
      </w:r>
      <w:proofErr w:type="spellEnd"/>
      <w:r w:rsidRPr="00F30FD9">
        <w:rPr>
          <w:rFonts w:cstheme="minorHAnsi"/>
        </w:rPr>
        <w:t xml:space="preserve"> so as to facilitate such intersessional appointments to the </w:t>
      </w:r>
      <w:proofErr w:type="spellStart"/>
      <w:r>
        <w:rPr>
          <w:rFonts w:cstheme="minorHAnsi"/>
        </w:rPr>
        <w:t>TSc</w:t>
      </w:r>
      <w:proofErr w:type="spellEnd"/>
      <w:r w:rsidRPr="00F30FD9">
        <w:rPr>
          <w:rFonts w:cstheme="minorHAnsi"/>
        </w:rPr>
        <w:t xml:space="preserve">. </w:t>
      </w:r>
    </w:p>
    <w:p w14:paraId="6BF7D269" w14:textId="77777777" w:rsidR="00BD4205" w:rsidRPr="00F30FD9" w:rsidRDefault="00BD4205" w:rsidP="00BD4205">
      <w:pPr>
        <w:spacing w:before="100" w:beforeAutospacing="1" w:after="100" w:afterAutospacing="1"/>
        <w:rPr>
          <w:rFonts w:cstheme="minorHAnsi"/>
        </w:rPr>
      </w:pPr>
      <w:r w:rsidRPr="00F30FD9">
        <w:rPr>
          <w:rFonts w:cstheme="minorHAnsi"/>
        </w:rPr>
        <w:lastRenderedPageBreak/>
        <w:t xml:space="preserve">9. In parallel to the MOP10 discussions on Technical Committee composition and processes, during MOP10 there was considerable debate on the overall EAAFP </w:t>
      </w:r>
      <w:proofErr w:type="spellStart"/>
      <w:r w:rsidRPr="00F30FD9">
        <w:rPr>
          <w:rFonts w:cstheme="minorHAnsi"/>
        </w:rPr>
        <w:t>organisational</w:t>
      </w:r>
      <w:proofErr w:type="spellEnd"/>
      <w:r w:rsidRPr="00F30FD9">
        <w:rPr>
          <w:rFonts w:cstheme="minorHAnsi"/>
        </w:rPr>
        <w:t xml:space="preserve"> structure and interactions between the various different EAAFP mechanisms, which led to the adoption MOP10 Decision 3. </w:t>
      </w:r>
    </w:p>
    <w:p w14:paraId="1D4FFD48" w14:textId="77777777" w:rsidR="00BD4205" w:rsidRPr="00F30FD9" w:rsidRDefault="00BD4205" w:rsidP="00BD4205">
      <w:pPr>
        <w:spacing w:before="100" w:beforeAutospacing="1" w:after="100" w:afterAutospacing="1"/>
        <w:rPr>
          <w:rFonts w:cstheme="minorHAnsi"/>
        </w:rPr>
      </w:pPr>
      <w:r w:rsidRPr="00F30FD9">
        <w:rPr>
          <w:rFonts w:cstheme="minorHAnsi"/>
        </w:rPr>
        <w:t xml:space="preserve">10. The adopted </w:t>
      </w:r>
      <w:proofErr w:type="spellStart"/>
      <w:r w:rsidRPr="00F30FD9">
        <w:rPr>
          <w:rFonts w:cstheme="minorHAnsi"/>
        </w:rPr>
        <w:t>organisational</w:t>
      </w:r>
      <w:proofErr w:type="spellEnd"/>
      <w:r w:rsidRPr="00F30FD9">
        <w:rPr>
          <w:rFonts w:cstheme="minorHAnsi"/>
        </w:rPr>
        <w:t xml:space="preserve"> structure in MOP10 Decision DD.03</w:t>
      </w:r>
      <w:r w:rsidRPr="00F30FD9">
        <w:rPr>
          <w:rFonts w:cstheme="minorHAnsi"/>
          <w:b/>
        </w:rPr>
        <w:t xml:space="preserve"> </w:t>
      </w:r>
      <w:r w:rsidRPr="00F30FD9">
        <w:rPr>
          <w:rFonts w:cstheme="minorHAnsi"/>
        </w:rPr>
        <w:t xml:space="preserve">is reproduced below. This </w:t>
      </w:r>
      <w:proofErr w:type="spellStart"/>
      <w:r w:rsidRPr="00F30FD9">
        <w:rPr>
          <w:rFonts w:cstheme="minorHAnsi"/>
        </w:rPr>
        <w:t>recognised</w:t>
      </w:r>
      <w:proofErr w:type="spellEnd"/>
      <w:r w:rsidRPr="00F30FD9">
        <w:rPr>
          <w:rFonts w:cstheme="minorHAnsi"/>
        </w:rPr>
        <w:t xml:space="preserve"> that both the Technical Committee and Finance Committee should be treated as sub-Committees of the overarching Management Committee. Hence the technical committee is now called the EAAFP </w:t>
      </w:r>
      <w:r w:rsidRPr="00F30FD9">
        <w:rPr>
          <w:rFonts w:cstheme="minorHAnsi"/>
          <w:i/>
        </w:rPr>
        <w:t xml:space="preserve">Technical </w:t>
      </w:r>
      <w:r>
        <w:rPr>
          <w:rFonts w:cstheme="minorHAnsi"/>
          <w:i/>
        </w:rPr>
        <w:t>S</w:t>
      </w:r>
      <w:r w:rsidRPr="00F30FD9">
        <w:rPr>
          <w:rFonts w:cstheme="minorHAnsi"/>
          <w:i/>
        </w:rPr>
        <w:t>ub-</w:t>
      </w:r>
      <w:r>
        <w:rPr>
          <w:rFonts w:cstheme="minorHAnsi"/>
          <w:i/>
        </w:rPr>
        <w:t>c</w:t>
      </w:r>
      <w:r w:rsidRPr="00F30FD9">
        <w:rPr>
          <w:rFonts w:cstheme="minorHAnsi"/>
          <w:i/>
        </w:rPr>
        <w:t xml:space="preserve">ommittee </w:t>
      </w:r>
      <w:r w:rsidRPr="00F30FD9">
        <w:rPr>
          <w:rFonts w:cstheme="minorHAnsi"/>
        </w:rPr>
        <w:t>(</w:t>
      </w:r>
      <w:proofErr w:type="spellStart"/>
      <w:r>
        <w:rPr>
          <w:rFonts w:cstheme="minorHAnsi"/>
        </w:rPr>
        <w:t>TSc</w:t>
      </w:r>
      <w:proofErr w:type="spellEnd"/>
      <w:r w:rsidRPr="00F30FD9">
        <w:rPr>
          <w:rFonts w:cstheme="minorHAnsi"/>
        </w:rPr>
        <w:t>)</w:t>
      </w:r>
      <w:r w:rsidRPr="00F30FD9">
        <w:rPr>
          <w:rFonts w:cstheme="minorHAnsi"/>
          <w:i/>
        </w:rPr>
        <w:t>.</w:t>
      </w:r>
      <w:r w:rsidRPr="00F30FD9">
        <w:rPr>
          <w:rFonts w:cstheme="minorHAnsi"/>
        </w:rPr>
        <w:t xml:space="preserve"> </w:t>
      </w:r>
    </w:p>
    <w:p w14:paraId="20B485CE" w14:textId="3795483A" w:rsidR="00BD4205" w:rsidRDefault="00BD4205" w:rsidP="00BD4205">
      <w:pPr>
        <w:jc w:val="center"/>
      </w:pPr>
      <w:r>
        <w:fldChar w:fldCharType="begin"/>
      </w:r>
      <w:r w:rsidR="00E44383">
        <w:instrText xml:space="preserve"> INCLUDEPICTURE "D:\\var\\folders\\qc\\xnxrl1_x22l2_y92kwv323x00000gn\\T\\com.microsoft.Word\\WebArchiveCopyPasteTempFiles\\page3image370704176" \* MERGEFORMAT </w:instrText>
      </w:r>
      <w:r>
        <w:fldChar w:fldCharType="separate"/>
      </w:r>
      <w:r>
        <w:rPr>
          <w:noProof/>
        </w:rPr>
        <w:drawing>
          <wp:inline distT="0" distB="0" distL="0" distR="0" wp14:anchorId="28AB4469" wp14:editId="4D6C3621">
            <wp:extent cx="4356100" cy="2633943"/>
            <wp:effectExtent l="0" t="0" r="0" b="0"/>
            <wp:docPr id="1" name="Picture 1" descr="page3image37070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70704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810" cy="2634373"/>
                    </a:xfrm>
                    <a:prstGeom prst="rect">
                      <a:avLst/>
                    </a:prstGeom>
                    <a:noFill/>
                    <a:ln>
                      <a:noFill/>
                    </a:ln>
                  </pic:spPr>
                </pic:pic>
              </a:graphicData>
            </a:graphic>
          </wp:inline>
        </w:drawing>
      </w:r>
      <w:r>
        <w:fldChar w:fldCharType="end"/>
      </w:r>
    </w:p>
    <w:p w14:paraId="487DF0B9" w14:textId="77777777" w:rsidR="00BD4205" w:rsidRPr="00464384" w:rsidRDefault="00BD4205" w:rsidP="00BD4205">
      <w:pPr>
        <w:spacing w:before="100" w:beforeAutospacing="1" w:after="100" w:afterAutospacing="1"/>
        <w:rPr>
          <w:rFonts w:cstheme="minorHAnsi"/>
        </w:rPr>
      </w:pPr>
      <w:r w:rsidRPr="00464384">
        <w:rPr>
          <w:rFonts w:cstheme="minorHAnsi"/>
        </w:rPr>
        <w:t xml:space="preserve">11. The </w:t>
      </w:r>
      <w:proofErr w:type="spellStart"/>
      <w:r w:rsidRPr="00464384">
        <w:rPr>
          <w:rFonts w:cstheme="minorHAnsi"/>
        </w:rPr>
        <w:t>organisational</w:t>
      </w:r>
      <w:proofErr w:type="spellEnd"/>
      <w:r w:rsidRPr="00464384">
        <w:rPr>
          <w:rFonts w:cstheme="minorHAnsi"/>
        </w:rPr>
        <w:t xml:space="preserve"> structure approved in MOP10 Decision 3 shows several processes relevant to the work of the </w:t>
      </w:r>
      <w:proofErr w:type="spellStart"/>
      <w:r>
        <w:rPr>
          <w:rFonts w:cstheme="minorHAnsi"/>
        </w:rPr>
        <w:t>TSc</w:t>
      </w:r>
      <w:proofErr w:type="spellEnd"/>
      <w:r w:rsidRPr="00464384">
        <w:rPr>
          <w:rFonts w:cstheme="minorHAnsi"/>
        </w:rPr>
        <w:t>:</w:t>
      </w:r>
    </w:p>
    <w:p w14:paraId="2288CE96" w14:textId="77777777" w:rsidR="00BD4205" w:rsidRPr="00464384" w:rsidRDefault="00BD4205" w:rsidP="00BD4205">
      <w:pPr>
        <w:pStyle w:val="ListParagraph"/>
        <w:numPr>
          <w:ilvl w:val="0"/>
          <w:numId w:val="15"/>
        </w:numPr>
        <w:spacing w:before="100" w:beforeAutospacing="1" w:after="100" w:afterAutospacing="1" w:line="240" w:lineRule="auto"/>
        <w:rPr>
          <w:rFonts w:cstheme="minorHAnsi"/>
        </w:rPr>
      </w:pPr>
      <w:r w:rsidRPr="00464384">
        <w:rPr>
          <w:rFonts w:cstheme="minorHAnsi"/>
        </w:rPr>
        <w:t xml:space="preserve">First, the </w:t>
      </w:r>
      <w:proofErr w:type="spellStart"/>
      <w:r>
        <w:rPr>
          <w:rFonts w:cstheme="minorHAnsi"/>
        </w:rPr>
        <w:t>TSc</w:t>
      </w:r>
      <w:proofErr w:type="spellEnd"/>
      <w:r w:rsidRPr="00464384">
        <w:rPr>
          <w:rFonts w:cstheme="minorHAnsi"/>
        </w:rPr>
        <w:t xml:space="preserve"> is shown as responsible to, and reports to and through, the inter-sessional Management Committee (hence this report to MOP11 is provided through the Management Committee);</w:t>
      </w:r>
    </w:p>
    <w:p w14:paraId="756A211D" w14:textId="77777777" w:rsidR="00BD4205" w:rsidRPr="00464384" w:rsidRDefault="00BD4205" w:rsidP="00BD4205">
      <w:pPr>
        <w:pStyle w:val="ListParagraph"/>
        <w:numPr>
          <w:ilvl w:val="0"/>
          <w:numId w:val="15"/>
        </w:numPr>
        <w:spacing w:before="100" w:beforeAutospacing="1" w:after="100" w:afterAutospacing="1" w:line="240" w:lineRule="auto"/>
        <w:rPr>
          <w:rFonts w:cstheme="minorHAnsi"/>
        </w:rPr>
      </w:pPr>
      <w:r w:rsidRPr="00464384">
        <w:rPr>
          <w:rFonts w:cstheme="minorHAnsi"/>
        </w:rPr>
        <w:t xml:space="preserve">Second, the MOP10 </w:t>
      </w:r>
      <w:proofErr w:type="spellStart"/>
      <w:r w:rsidRPr="00464384">
        <w:rPr>
          <w:rFonts w:cstheme="minorHAnsi"/>
        </w:rPr>
        <w:t>organisational</w:t>
      </w:r>
      <w:proofErr w:type="spellEnd"/>
      <w:r w:rsidRPr="00464384">
        <w:rPr>
          <w:rFonts w:cstheme="minorHAnsi"/>
        </w:rPr>
        <w:t xml:space="preserve"> structure diagram shows that Working Groups and Task Forces should report to and through the </w:t>
      </w:r>
      <w:proofErr w:type="spellStart"/>
      <w:r>
        <w:rPr>
          <w:rFonts w:cstheme="minorHAnsi"/>
        </w:rPr>
        <w:t>TSc</w:t>
      </w:r>
      <w:proofErr w:type="spellEnd"/>
      <w:r w:rsidRPr="00464384">
        <w:rPr>
          <w:rFonts w:cstheme="minorHAnsi"/>
        </w:rPr>
        <w:t xml:space="preserve"> to the Management Committee and MOP. A mechanism for this has not yet been considered, established or agreed, but is needed. Currently EG/TF reports are still requested separately by the Secretariat </w:t>
      </w:r>
      <w:r>
        <w:rPr>
          <w:rFonts w:cstheme="minorHAnsi"/>
        </w:rPr>
        <w:t>to</w:t>
      </w:r>
      <w:r w:rsidRPr="00464384">
        <w:rPr>
          <w:rFonts w:cstheme="minorHAnsi"/>
        </w:rPr>
        <w:t xml:space="preserve"> report to MOPs. Furthermore, the text accompanying the </w:t>
      </w:r>
      <w:proofErr w:type="spellStart"/>
      <w:r w:rsidRPr="00464384">
        <w:rPr>
          <w:rFonts w:cstheme="minorHAnsi"/>
        </w:rPr>
        <w:t>organisational</w:t>
      </w:r>
      <w:proofErr w:type="spellEnd"/>
      <w:r w:rsidRPr="00464384">
        <w:rPr>
          <w:rFonts w:cstheme="minorHAnsi"/>
        </w:rPr>
        <w:t xml:space="preserve"> structure chart in MOP10 D</w:t>
      </w:r>
      <w:r>
        <w:rPr>
          <w:rFonts w:cstheme="minorHAnsi"/>
        </w:rPr>
        <w:t xml:space="preserve">ecision </w:t>
      </w:r>
      <w:r w:rsidRPr="00464384">
        <w:rPr>
          <w:rFonts w:cstheme="minorHAnsi"/>
        </w:rPr>
        <w:t xml:space="preserve">3 appears </w:t>
      </w:r>
      <w:r>
        <w:rPr>
          <w:rFonts w:cstheme="minorHAnsi"/>
        </w:rPr>
        <w:t xml:space="preserve">to be </w:t>
      </w:r>
      <w:r w:rsidRPr="00464384">
        <w:rPr>
          <w:rFonts w:cstheme="minorHAnsi"/>
        </w:rPr>
        <w:t xml:space="preserve">inconsistent and ambiguous concerning this issue: </w:t>
      </w:r>
    </w:p>
    <w:p w14:paraId="03854076" w14:textId="77777777" w:rsidR="00BD4205" w:rsidRPr="00464384" w:rsidRDefault="00BD4205" w:rsidP="00BD4205">
      <w:pPr>
        <w:pStyle w:val="NormalWeb"/>
        <w:ind w:left="1134"/>
        <w:rPr>
          <w:rFonts w:asciiTheme="minorHAnsi" w:hAnsiTheme="minorHAnsi" w:cstheme="minorHAnsi"/>
          <w:sz w:val="22"/>
          <w:szCs w:val="22"/>
        </w:rPr>
      </w:pPr>
      <w:r w:rsidRPr="00464384">
        <w:rPr>
          <w:rFonts w:asciiTheme="minorHAnsi" w:hAnsiTheme="minorHAnsi" w:cstheme="minorHAnsi"/>
          <w:sz w:val="22"/>
          <w:szCs w:val="22"/>
        </w:rPr>
        <w:t xml:space="preserve">“The EAAFP Working Groups and Task Forces support the Partners and the Partnership in the implementation of the Strategic Plan. They are required to develop and present their work plans at each </w:t>
      </w:r>
      <w:proofErr w:type="spellStart"/>
      <w:r w:rsidRPr="00464384">
        <w:rPr>
          <w:rFonts w:asciiTheme="minorHAnsi" w:hAnsiTheme="minorHAnsi" w:cstheme="minorHAnsi"/>
          <w:sz w:val="22"/>
          <w:szCs w:val="22"/>
        </w:rPr>
        <w:t>MoP</w:t>
      </w:r>
      <w:proofErr w:type="spellEnd"/>
      <w:r w:rsidRPr="00464384">
        <w:rPr>
          <w:rFonts w:asciiTheme="minorHAnsi" w:hAnsiTheme="minorHAnsi" w:cstheme="minorHAnsi"/>
          <w:sz w:val="22"/>
          <w:szCs w:val="22"/>
        </w:rPr>
        <w:t xml:space="preserve"> and to report on their results through the Report on Implementation prior to the following </w:t>
      </w:r>
      <w:proofErr w:type="spellStart"/>
      <w:r w:rsidRPr="00464384">
        <w:rPr>
          <w:rFonts w:asciiTheme="minorHAnsi" w:hAnsiTheme="minorHAnsi" w:cstheme="minorHAnsi"/>
          <w:sz w:val="22"/>
          <w:szCs w:val="22"/>
        </w:rPr>
        <w:t>MoP</w:t>
      </w:r>
      <w:proofErr w:type="spellEnd"/>
      <w:r w:rsidRPr="00464384">
        <w:rPr>
          <w:rFonts w:asciiTheme="minorHAnsi" w:hAnsiTheme="minorHAnsi" w:cstheme="minorHAnsi"/>
          <w:sz w:val="22"/>
          <w:szCs w:val="22"/>
        </w:rPr>
        <w:t xml:space="preserve">. These Working Groups and Task Forces also need to report to the Management Committee on an as need basis between </w:t>
      </w:r>
      <w:proofErr w:type="spellStart"/>
      <w:r w:rsidRPr="00464384">
        <w:rPr>
          <w:rFonts w:asciiTheme="minorHAnsi" w:hAnsiTheme="minorHAnsi" w:cstheme="minorHAnsi"/>
          <w:sz w:val="22"/>
          <w:szCs w:val="22"/>
        </w:rPr>
        <w:t>MoP’s</w:t>
      </w:r>
      <w:proofErr w:type="spellEnd"/>
      <w:r w:rsidRPr="00464384">
        <w:rPr>
          <w:rFonts w:asciiTheme="minorHAnsi" w:hAnsiTheme="minorHAnsi" w:cstheme="minorHAnsi"/>
          <w:sz w:val="22"/>
          <w:szCs w:val="22"/>
        </w:rPr>
        <w:t>.”</w:t>
      </w:r>
    </w:p>
    <w:p w14:paraId="2A06AA23" w14:textId="77777777" w:rsidR="00BD4205" w:rsidRPr="00464384" w:rsidRDefault="00BD4205" w:rsidP="00BD4205">
      <w:pPr>
        <w:spacing w:before="100" w:beforeAutospacing="1" w:after="100" w:afterAutospacing="1"/>
        <w:rPr>
          <w:rFonts w:cstheme="minorHAnsi"/>
        </w:rPr>
      </w:pPr>
      <w:r w:rsidRPr="00464384">
        <w:rPr>
          <w:rFonts w:cstheme="minorHAnsi"/>
        </w:rPr>
        <w:lastRenderedPageBreak/>
        <w:t xml:space="preserve">12. At MOP11 Partners </w:t>
      </w:r>
      <w:r>
        <w:rPr>
          <w:rFonts w:cstheme="minorHAnsi"/>
        </w:rPr>
        <w:t xml:space="preserve">need to </w:t>
      </w:r>
      <w:r w:rsidRPr="00464384">
        <w:rPr>
          <w:rFonts w:cstheme="minorHAnsi"/>
        </w:rPr>
        <w:t xml:space="preserve">further discuss and decide how to resolve these inconsistencies, so as to provide clear and consistence guidance to all the Partnership bodies as to how they should </w:t>
      </w:r>
      <w:r>
        <w:rPr>
          <w:rFonts w:cstheme="minorHAnsi"/>
        </w:rPr>
        <w:t xml:space="preserve">better </w:t>
      </w:r>
      <w:r w:rsidRPr="00464384">
        <w:rPr>
          <w:rFonts w:cstheme="minorHAnsi"/>
        </w:rPr>
        <w:t>interact and work together.</w:t>
      </w:r>
    </w:p>
    <w:p w14:paraId="5CB9CE30" w14:textId="77777777" w:rsidR="00BD4205" w:rsidRPr="00065B31" w:rsidRDefault="00BD4205" w:rsidP="00BD4205">
      <w:pPr>
        <w:spacing w:before="100" w:beforeAutospacing="1" w:after="100" w:afterAutospacing="1"/>
        <w:rPr>
          <w:rFonts w:ascii="Calibri" w:hAnsi="Calibri" w:cs="Calibri"/>
          <w:b/>
        </w:rPr>
      </w:pPr>
      <w:proofErr w:type="spellStart"/>
      <w:r>
        <w:rPr>
          <w:rFonts w:ascii="Calibri" w:hAnsi="Calibri" w:cs="Calibri"/>
          <w:b/>
        </w:rPr>
        <w:t>TSc</w:t>
      </w:r>
      <w:proofErr w:type="spellEnd"/>
      <w:r w:rsidRPr="00065B31">
        <w:rPr>
          <w:rFonts w:ascii="Calibri" w:hAnsi="Calibri" w:cs="Calibri"/>
          <w:b/>
        </w:rPr>
        <w:t xml:space="preserve"> initial activities following MOP10</w:t>
      </w:r>
    </w:p>
    <w:p w14:paraId="5F280098"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13. </w:t>
      </w:r>
      <w:r w:rsidRPr="00D9628F">
        <w:rPr>
          <w:rFonts w:ascii="Calibri" w:hAnsi="Calibri" w:cs="Calibri"/>
        </w:rPr>
        <w:t>Following MOP10</w:t>
      </w:r>
      <w:r>
        <w:rPr>
          <w:rFonts w:ascii="Calibri" w:hAnsi="Calibri" w:cs="Calibri"/>
        </w:rPr>
        <w:t xml:space="preserve"> and as instructed by MOP10 Decision 4, the </w:t>
      </w:r>
      <w:proofErr w:type="spellStart"/>
      <w:r>
        <w:rPr>
          <w:rFonts w:ascii="Calibri" w:hAnsi="Calibri" w:cs="Calibri"/>
        </w:rPr>
        <w:t>TSc</w:t>
      </w:r>
      <w:proofErr w:type="spellEnd"/>
      <w:r>
        <w:rPr>
          <w:rFonts w:ascii="Calibri" w:hAnsi="Calibri" w:cs="Calibri"/>
        </w:rPr>
        <w:t xml:space="preserve"> compiled a comprehensive list of tasks instructed of it from a) the </w:t>
      </w:r>
      <w:proofErr w:type="spellStart"/>
      <w:r>
        <w:rPr>
          <w:rFonts w:ascii="Calibri" w:hAnsi="Calibri" w:cs="Calibri"/>
        </w:rPr>
        <w:t>TSc</w:t>
      </w:r>
      <w:proofErr w:type="spellEnd"/>
      <w:r>
        <w:rPr>
          <w:rFonts w:ascii="Calibri" w:hAnsi="Calibri" w:cs="Calibri"/>
        </w:rPr>
        <w:t xml:space="preserve"> Terms of Reference (MOP10 Decision 4); b) the Strategic Plan 2019-2028 (MOP10 Decision 1), c) other MOP10 Decisions; and d) </w:t>
      </w:r>
      <w:proofErr w:type="spellStart"/>
      <w:r>
        <w:rPr>
          <w:rFonts w:ascii="Calibri" w:hAnsi="Calibri" w:cs="Calibri"/>
        </w:rPr>
        <w:t>TSc</w:t>
      </w:r>
      <w:proofErr w:type="spellEnd"/>
      <w:r>
        <w:rPr>
          <w:rFonts w:ascii="Calibri" w:hAnsi="Calibri" w:cs="Calibri"/>
        </w:rPr>
        <w:t xml:space="preserve"> meeting discussions, and the role(s) of the </w:t>
      </w:r>
      <w:proofErr w:type="spellStart"/>
      <w:r>
        <w:rPr>
          <w:rFonts w:ascii="Calibri" w:hAnsi="Calibri" w:cs="Calibri"/>
        </w:rPr>
        <w:t>TSc</w:t>
      </w:r>
      <w:proofErr w:type="spellEnd"/>
      <w:r>
        <w:rPr>
          <w:rFonts w:ascii="Calibri" w:hAnsi="Calibri" w:cs="Calibri"/>
        </w:rPr>
        <w:t xml:space="preserve"> and other FP mechanisms in task delivery. </w:t>
      </w:r>
    </w:p>
    <w:p w14:paraId="1CABBC69" w14:textId="77777777" w:rsidR="00BD4205" w:rsidRDefault="00BD4205" w:rsidP="00BD4205">
      <w:pPr>
        <w:spacing w:before="100" w:beforeAutospacing="1" w:after="100" w:afterAutospacing="1"/>
        <w:rPr>
          <w:rFonts w:ascii="Calibri" w:hAnsi="Calibri" w:cs="Calibri"/>
        </w:rPr>
      </w:pPr>
      <w:r>
        <w:rPr>
          <w:rFonts w:ascii="Calibri" w:hAnsi="Calibri" w:cs="Calibri"/>
        </w:rPr>
        <w:t>This task list, including proposed priorities for different tasks, was submitted to the Secretariat (including its newly-established Beijing-based Science Unit (SU)) and the Management Committee, including with recommendations for the priority for each task, in 2019.</w:t>
      </w:r>
    </w:p>
    <w:p w14:paraId="0367BEEC"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14. In relation to this long ‘wish list’ of tasks, Partners should recall that under its Terms of Reference the </w:t>
      </w:r>
      <w:proofErr w:type="spellStart"/>
      <w:r>
        <w:rPr>
          <w:rFonts w:ascii="Calibri" w:hAnsi="Calibri" w:cs="Calibri"/>
        </w:rPr>
        <w:t>TSc</w:t>
      </w:r>
      <w:proofErr w:type="spellEnd"/>
      <w:r>
        <w:rPr>
          <w:rFonts w:ascii="Calibri" w:hAnsi="Calibri" w:cs="Calibri"/>
        </w:rPr>
        <w:t xml:space="preserve"> is essentially a body responsible for providing scientific and technical guidance and advice to the Partnership. However, note that the </w:t>
      </w:r>
      <w:proofErr w:type="spellStart"/>
      <w:r>
        <w:rPr>
          <w:rFonts w:ascii="Calibri" w:hAnsi="Calibri" w:cs="Calibri"/>
        </w:rPr>
        <w:t>ToRs</w:t>
      </w:r>
      <w:proofErr w:type="spellEnd"/>
      <w:r>
        <w:rPr>
          <w:rFonts w:ascii="Calibri" w:hAnsi="Calibri" w:cs="Calibri"/>
        </w:rPr>
        <w:t xml:space="preserve"> are silent as to what form(s) such advice can or should take. </w:t>
      </w:r>
    </w:p>
    <w:p w14:paraId="3E140EBE" w14:textId="77777777" w:rsidR="00BD4205" w:rsidRPr="00DD0CB1" w:rsidRDefault="00BD4205" w:rsidP="00BD4205">
      <w:pPr>
        <w:spacing w:before="100" w:beforeAutospacing="1" w:after="100" w:afterAutospacing="1"/>
        <w:rPr>
          <w:rFonts w:ascii="Calibri" w:hAnsi="Calibri" w:cs="Calibri"/>
        </w:rPr>
      </w:pPr>
      <w:r>
        <w:rPr>
          <w:rFonts w:ascii="Calibri" w:hAnsi="Calibri" w:cs="Calibri"/>
        </w:rPr>
        <w:t xml:space="preserve">15. EAAFP Partners must keep in mind that as a small group of waterbird and wetland experts appointed for their expertise in their own right, and working largely </w:t>
      </w:r>
      <w:r>
        <w:rPr>
          <w:rFonts w:ascii="Calibri" w:hAnsi="Calibri" w:cs="Calibri"/>
          <w:i/>
        </w:rPr>
        <w:t>pro bono</w:t>
      </w:r>
      <w:r>
        <w:rPr>
          <w:rFonts w:ascii="Calibri" w:hAnsi="Calibri" w:cs="Calibri"/>
        </w:rPr>
        <w:t xml:space="preserve"> (i.e. providing their time free of charge to the Partnership) the </w:t>
      </w:r>
      <w:proofErr w:type="spellStart"/>
      <w:r>
        <w:rPr>
          <w:rFonts w:ascii="Calibri" w:hAnsi="Calibri" w:cs="Calibri"/>
        </w:rPr>
        <w:t>TSc</w:t>
      </w:r>
      <w:proofErr w:type="spellEnd"/>
      <w:r>
        <w:rPr>
          <w:rFonts w:ascii="Calibri" w:hAnsi="Calibri" w:cs="Calibri"/>
        </w:rPr>
        <w:t xml:space="preserve"> does not have the capacity or resources to lead preparation of substantive work tasks – there is no core budget allocation for any such work to be undertaken, so such tasks cannot be progressed unless additional funding is provided by Partners or other third-parties, and work undertaken either by the Secretariat, or commissioned of consultants by the Secretariat. The </w:t>
      </w:r>
      <w:proofErr w:type="spellStart"/>
      <w:r>
        <w:rPr>
          <w:rFonts w:ascii="Calibri" w:hAnsi="Calibri" w:cs="Calibri"/>
        </w:rPr>
        <w:t>TSc’s</w:t>
      </w:r>
      <w:proofErr w:type="spellEnd"/>
      <w:r>
        <w:rPr>
          <w:rFonts w:ascii="Calibri" w:hAnsi="Calibri" w:cs="Calibri"/>
        </w:rPr>
        <w:t xml:space="preserve"> role if such work can be resourced is to advise on the scope of such work, guide and oversee implementation of the work, and to review and approve work outputs.</w:t>
      </w:r>
    </w:p>
    <w:p w14:paraId="228672E8" w14:textId="77777777" w:rsidR="00BD4205" w:rsidRDefault="00BD4205" w:rsidP="00BD4205">
      <w:pPr>
        <w:spacing w:before="100" w:beforeAutospacing="1" w:after="100" w:afterAutospacing="1"/>
        <w:rPr>
          <w:rFonts w:ascii="Calibri" w:hAnsi="Calibri" w:cs="Calibri"/>
        </w:rPr>
      </w:pPr>
      <w:r>
        <w:rPr>
          <w:rFonts w:ascii="Calibri" w:hAnsi="Calibri" w:cs="Calibri"/>
        </w:rPr>
        <w:t>16. Although entitled “</w:t>
      </w:r>
      <w:proofErr w:type="spellStart"/>
      <w:r>
        <w:rPr>
          <w:rFonts w:ascii="Calibri" w:hAnsi="Calibri" w:cs="Calibri"/>
        </w:rPr>
        <w:t>TSc</w:t>
      </w:r>
      <w:proofErr w:type="spellEnd"/>
      <w:r>
        <w:rPr>
          <w:rFonts w:ascii="Calibri" w:hAnsi="Calibri" w:cs="Calibri"/>
        </w:rPr>
        <w:t xml:space="preserve"> Work Plan 2019-2020” it needs to be understood that this very long list of tasks, a considerable number of which require substantial investment of FP capacity and resources to fully deliver, is </w:t>
      </w:r>
      <w:proofErr w:type="spellStart"/>
      <w:r>
        <w:rPr>
          <w:rFonts w:ascii="Calibri" w:hAnsi="Calibri" w:cs="Calibri"/>
        </w:rPr>
        <w:t>recognised</w:t>
      </w:r>
      <w:proofErr w:type="spellEnd"/>
      <w:r>
        <w:rPr>
          <w:rFonts w:ascii="Calibri" w:hAnsi="Calibri" w:cs="Calibri"/>
        </w:rPr>
        <w:t xml:space="preserve"> as being well beyond the remit and capacity of the </w:t>
      </w:r>
      <w:proofErr w:type="spellStart"/>
      <w:r>
        <w:rPr>
          <w:rFonts w:ascii="Calibri" w:hAnsi="Calibri" w:cs="Calibri"/>
        </w:rPr>
        <w:t>TSc</w:t>
      </w:r>
      <w:proofErr w:type="spellEnd"/>
      <w:r>
        <w:rPr>
          <w:rFonts w:ascii="Calibri" w:hAnsi="Calibri" w:cs="Calibri"/>
        </w:rPr>
        <w:t xml:space="preserve">. Note also that such instructions for further substantive work by the </w:t>
      </w:r>
      <w:proofErr w:type="spellStart"/>
      <w:r>
        <w:rPr>
          <w:rFonts w:ascii="Calibri" w:hAnsi="Calibri" w:cs="Calibri"/>
        </w:rPr>
        <w:t>TSc</w:t>
      </w:r>
      <w:proofErr w:type="spellEnd"/>
      <w:r>
        <w:rPr>
          <w:rFonts w:ascii="Calibri" w:hAnsi="Calibri" w:cs="Calibri"/>
        </w:rPr>
        <w:t xml:space="preserve"> is being instructed in some MOP11 Draft Decisions (DDs). At MOP11 the </w:t>
      </w:r>
      <w:proofErr w:type="spellStart"/>
      <w:r>
        <w:rPr>
          <w:rFonts w:ascii="Calibri" w:hAnsi="Calibri" w:cs="Calibri"/>
        </w:rPr>
        <w:t>TSc</w:t>
      </w:r>
      <w:proofErr w:type="spellEnd"/>
      <w:r>
        <w:rPr>
          <w:rFonts w:ascii="Calibri" w:hAnsi="Calibri" w:cs="Calibri"/>
        </w:rPr>
        <w:t xml:space="preserve"> will be raising and addressing these issues.</w:t>
      </w:r>
    </w:p>
    <w:p w14:paraId="1AF2E6A1" w14:textId="77777777" w:rsidR="00BD4205" w:rsidRDefault="00BD4205" w:rsidP="00BD4205">
      <w:pPr>
        <w:spacing w:before="100" w:beforeAutospacing="1" w:after="100" w:afterAutospacing="1"/>
        <w:rPr>
          <w:rFonts w:ascii="Calibri" w:hAnsi="Calibri" w:cs="Calibri"/>
        </w:rPr>
      </w:pPr>
      <w:r w:rsidRPr="00942B28">
        <w:rPr>
          <w:rFonts w:ascii="Calibri" w:hAnsi="Calibri" w:cs="Calibri"/>
        </w:rPr>
        <w:t xml:space="preserve">17. </w:t>
      </w:r>
      <w:r>
        <w:rPr>
          <w:rFonts w:ascii="Calibri" w:hAnsi="Calibri" w:cs="Calibri"/>
        </w:rPr>
        <w:t xml:space="preserve">In parallel to the 2018/19 development by the </w:t>
      </w:r>
      <w:proofErr w:type="spellStart"/>
      <w:r>
        <w:rPr>
          <w:rFonts w:ascii="Calibri" w:hAnsi="Calibri" w:cs="Calibri"/>
        </w:rPr>
        <w:t>TSc</w:t>
      </w:r>
      <w:proofErr w:type="spellEnd"/>
      <w:r>
        <w:rPr>
          <w:rFonts w:ascii="Calibri" w:hAnsi="Calibri" w:cs="Calibri"/>
        </w:rPr>
        <w:t xml:space="preserve"> of its Work Plan task list, the Incheon-based Secretariat was working with the recently established Science Unit of the Secretariat to separately develop a work plan for the Science Unit. However, in the light of the identification by the </w:t>
      </w:r>
      <w:proofErr w:type="spellStart"/>
      <w:r>
        <w:rPr>
          <w:rFonts w:ascii="Calibri" w:hAnsi="Calibri" w:cs="Calibri"/>
        </w:rPr>
        <w:t>TSc</w:t>
      </w:r>
      <w:proofErr w:type="spellEnd"/>
      <w:r>
        <w:rPr>
          <w:rFonts w:ascii="Calibri" w:hAnsi="Calibri" w:cs="Calibri"/>
        </w:rPr>
        <w:t xml:space="preserve"> of what tasks it could and could not undertake, it became clear that there was a need better to </w:t>
      </w:r>
      <w:proofErr w:type="spellStart"/>
      <w:r>
        <w:rPr>
          <w:rFonts w:ascii="Calibri" w:hAnsi="Calibri" w:cs="Calibri"/>
        </w:rPr>
        <w:t>harmonise</w:t>
      </w:r>
      <w:proofErr w:type="spellEnd"/>
      <w:r>
        <w:rPr>
          <w:rFonts w:ascii="Calibri" w:hAnsi="Calibri" w:cs="Calibri"/>
        </w:rPr>
        <w:t xml:space="preserve"> and coordinate what the </w:t>
      </w:r>
      <w:proofErr w:type="spellStart"/>
      <w:r>
        <w:rPr>
          <w:rFonts w:ascii="Calibri" w:hAnsi="Calibri" w:cs="Calibri"/>
        </w:rPr>
        <w:t>TSc</w:t>
      </w:r>
      <w:proofErr w:type="spellEnd"/>
      <w:r>
        <w:rPr>
          <w:rFonts w:ascii="Calibri" w:hAnsi="Calibri" w:cs="Calibri"/>
        </w:rPr>
        <w:t xml:space="preserve"> and SU should each be doing to deliver tasks task on the list.</w:t>
      </w:r>
    </w:p>
    <w:p w14:paraId="738678BD" w14:textId="77777777" w:rsidR="00BD4205" w:rsidRPr="00942B28" w:rsidRDefault="00BD4205" w:rsidP="00BD4205">
      <w:pPr>
        <w:spacing w:before="100" w:beforeAutospacing="1" w:after="100" w:afterAutospacing="1"/>
        <w:rPr>
          <w:rFonts w:ascii="Calibri" w:hAnsi="Calibri" w:cs="Calibri"/>
        </w:rPr>
      </w:pPr>
      <w:r>
        <w:rPr>
          <w:rFonts w:ascii="Calibri" w:hAnsi="Calibri" w:cs="Calibri"/>
        </w:rPr>
        <w:t xml:space="preserve">18. In December 2019 the Chair and Vice-Chair of the </w:t>
      </w:r>
      <w:proofErr w:type="spellStart"/>
      <w:r>
        <w:rPr>
          <w:rFonts w:ascii="Calibri" w:hAnsi="Calibri" w:cs="Calibri"/>
        </w:rPr>
        <w:t>TSc</w:t>
      </w:r>
      <w:proofErr w:type="spellEnd"/>
      <w:r>
        <w:rPr>
          <w:rFonts w:ascii="Calibri" w:hAnsi="Calibri" w:cs="Calibri"/>
        </w:rPr>
        <w:t xml:space="preserve"> had the opportunity to meet with senior Incheon Secretariat staff and Science Unit staff in </w:t>
      </w:r>
      <w:proofErr w:type="spellStart"/>
      <w:r>
        <w:rPr>
          <w:rFonts w:ascii="Calibri" w:hAnsi="Calibri" w:cs="Calibri"/>
        </w:rPr>
        <w:t>Nanching</w:t>
      </w:r>
      <w:proofErr w:type="spellEnd"/>
      <w:r>
        <w:rPr>
          <w:rFonts w:ascii="Calibri" w:hAnsi="Calibri" w:cs="Calibri"/>
        </w:rPr>
        <w:t xml:space="preserve">, China, in the sidelines of a Poyang Lake and Siberian Crane celebration event. This meeting helped to better define the relative roles of the SU and the </w:t>
      </w:r>
      <w:proofErr w:type="spellStart"/>
      <w:r>
        <w:rPr>
          <w:rFonts w:ascii="Calibri" w:hAnsi="Calibri" w:cs="Calibri"/>
        </w:rPr>
        <w:t>TSc</w:t>
      </w:r>
      <w:proofErr w:type="spellEnd"/>
      <w:r>
        <w:rPr>
          <w:rFonts w:ascii="Calibri" w:hAnsi="Calibri" w:cs="Calibri"/>
        </w:rPr>
        <w:t>.</w:t>
      </w:r>
    </w:p>
    <w:p w14:paraId="08D2EB17" w14:textId="77777777" w:rsidR="00BD4205" w:rsidRDefault="00BD4205" w:rsidP="00BD4205">
      <w:pPr>
        <w:spacing w:before="100" w:beforeAutospacing="1" w:after="100" w:afterAutospacing="1"/>
        <w:rPr>
          <w:rFonts w:ascii="Calibri" w:hAnsi="Calibri" w:cs="Calibri"/>
        </w:rPr>
      </w:pPr>
      <w:r>
        <w:rPr>
          <w:rFonts w:ascii="Calibri" w:hAnsi="Calibri" w:cs="Calibri"/>
        </w:rPr>
        <w:lastRenderedPageBreak/>
        <w:t xml:space="preserve">19. At that time we were planning to have a face-to-face </w:t>
      </w:r>
      <w:proofErr w:type="spellStart"/>
      <w:r>
        <w:rPr>
          <w:rFonts w:ascii="Calibri" w:hAnsi="Calibri" w:cs="Calibri"/>
        </w:rPr>
        <w:t>TSc</w:t>
      </w:r>
      <w:proofErr w:type="spellEnd"/>
      <w:r>
        <w:rPr>
          <w:rFonts w:ascii="Calibri" w:hAnsi="Calibri" w:cs="Calibri"/>
        </w:rPr>
        <w:t xml:space="preserve"> meeting, hosted by the Science Unit in Beijing, so as to </w:t>
      </w:r>
      <w:proofErr w:type="spellStart"/>
      <w:r>
        <w:rPr>
          <w:rFonts w:ascii="Calibri" w:hAnsi="Calibri" w:cs="Calibri"/>
        </w:rPr>
        <w:t>finalise</w:t>
      </w:r>
      <w:proofErr w:type="spellEnd"/>
      <w:r>
        <w:rPr>
          <w:rFonts w:ascii="Calibri" w:hAnsi="Calibri" w:cs="Calibri"/>
        </w:rPr>
        <w:t xml:space="preserve"> work plans and progress other scientific and technical matters. In the event, that could not happen because of two events out of the </w:t>
      </w:r>
      <w:proofErr w:type="spellStart"/>
      <w:r>
        <w:rPr>
          <w:rFonts w:ascii="Calibri" w:hAnsi="Calibri" w:cs="Calibri"/>
        </w:rPr>
        <w:t>TSc’s</w:t>
      </w:r>
      <w:proofErr w:type="spellEnd"/>
      <w:r>
        <w:rPr>
          <w:rFonts w:ascii="Calibri" w:hAnsi="Calibri" w:cs="Calibri"/>
        </w:rPr>
        <w:t xml:space="preserve"> control, which have limited what the </w:t>
      </w:r>
      <w:proofErr w:type="spellStart"/>
      <w:r>
        <w:rPr>
          <w:rFonts w:ascii="Calibri" w:hAnsi="Calibri" w:cs="Calibri"/>
        </w:rPr>
        <w:t>TSc</w:t>
      </w:r>
      <w:proofErr w:type="spellEnd"/>
      <w:r>
        <w:rPr>
          <w:rFonts w:ascii="Calibri" w:hAnsi="Calibri" w:cs="Calibri"/>
        </w:rPr>
        <w:t xml:space="preserve"> has been able to deliver since then to MOP11. These were:</w:t>
      </w:r>
    </w:p>
    <w:p w14:paraId="1E9191B9" w14:textId="77777777" w:rsidR="00BD4205" w:rsidRDefault="00BD4205" w:rsidP="00BD4205">
      <w:pPr>
        <w:spacing w:before="100" w:beforeAutospacing="1" w:after="100" w:afterAutospacing="1"/>
        <w:ind w:left="567"/>
        <w:rPr>
          <w:rFonts w:ascii="Calibri" w:hAnsi="Calibri" w:cs="Calibri"/>
        </w:rPr>
      </w:pPr>
      <w:r>
        <w:rPr>
          <w:rFonts w:ascii="Calibri" w:hAnsi="Calibri" w:cs="Calibri"/>
        </w:rPr>
        <w:t>a. COVID-19 and all the consequent implications of lockdowns and travel restrictions over the past couple of years or more, and its impact (pandemic loss of motivation etc.) on the capacity and motivation of everyone to keep going on progressing work; and</w:t>
      </w:r>
    </w:p>
    <w:p w14:paraId="51901ACE" w14:textId="77777777" w:rsidR="00BD4205" w:rsidRPr="00942B28" w:rsidRDefault="00BD4205" w:rsidP="00BD4205">
      <w:pPr>
        <w:spacing w:before="100" w:beforeAutospacing="1" w:after="100" w:afterAutospacing="1"/>
        <w:ind w:left="567"/>
        <w:rPr>
          <w:rFonts w:ascii="Calibri" w:hAnsi="Calibri" w:cs="Calibri"/>
        </w:rPr>
      </w:pPr>
      <w:r>
        <w:rPr>
          <w:rFonts w:ascii="Calibri" w:hAnsi="Calibri" w:cs="Calibri"/>
        </w:rPr>
        <w:t>b. much less resourcing and capacity in the Science Unit than was anticipated at MOP10, limiting the capacity of the SU to deliver the range of tasks previously expected by MOP10 Decisions.</w:t>
      </w:r>
    </w:p>
    <w:p w14:paraId="20613E4F" w14:textId="77777777" w:rsidR="00BD4205" w:rsidRPr="002C7219" w:rsidRDefault="00BD4205" w:rsidP="00BD4205">
      <w:pPr>
        <w:spacing w:before="100" w:beforeAutospacing="1" w:after="100" w:afterAutospacing="1"/>
        <w:rPr>
          <w:rFonts w:ascii="Calibri" w:hAnsi="Calibri" w:cs="Calibri"/>
          <w:b/>
        </w:rPr>
      </w:pPr>
      <w:proofErr w:type="spellStart"/>
      <w:r>
        <w:rPr>
          <w:rFonts w:ascii="Calibri" w:hAnsi="Calibri" w:cs="Calibri"/>
          <w:b/>
        </w:rPr>
        <w:t>TSc</w:t>
      </w:r>
      <w:proofErr w:type="spellEnd"/>
      <w:r>
        <w:rPr>
          <w:rFonts w:ascii="Calibri" w:hAnsi="Calibri" w:cs="Calibri"/>
          <w:b/>
        </w:rPr>
        <w:t xml:space="preserve"> task delivery MOP10 to MOP11</w:t>
      </w:r>
    </w:p>
    <w:p w14:paraId="4DA01EA3"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20. Given the consequences of COVID lockdowns and travel restrictions since 2020, since then the </w:t>
      </w:r>
      <w:proofErr w:type="spellStart"/>
      <w:r>
        <w:rPr>
          <w:rFonts w:ascii="Calibri" w:hAnsi="Calibri" w:cs="Calibri"/>
        </w:rPr>
        <w:t>TSc</w:t>
      </w:r>
      <w:proofErr w:type="spellEnd"/>
      <w:r>
        <w:rPr>
          <w:rFonts w:ascii="Calibri" w:hAnsi="Calibri" w:cs="Calibri"/>
        </w:rPr>
        <w:t xml:space="preserve"> has had to work </w:t>
      </w:r>
      <w:proofErr w:type="spellStart"/>
      <w:r>
        <w:rPr>
          <w:rFonts w:ascii="Calibri" w:hAnsi="Calibri" w:cs="Calibri"/>
        </w:rPr>
        <w:t>intersessionally</w:t>
      </w:r>
      <w:proofErr w:type="spellEnd"/>
      <w:r>
        <w:rPr>
          <w:rFonts w:ascii="Calibri" w:hAnsi="Calibri" w:cs="Calibri"/>
        </w:rPr>
        <w:t xml:space="preserve"> through electronic communication mechanisms only.</w:t>
      </w:r>
    </w:p>
    <w:p w14:paraId="12C42710"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21. So, and despite all of these recent challenges, what has the </w:t>
      </w:r>
      <w:proofErr w:type="spellStart"/>
      <w:r>
        <w:rPr>
          <w:rFonts w:ascii="Calibri" w:hAnsi="Calibri" w:cs="Calibri"/>
        </w:rPr>
        <w:t>TSc</w:t>
      </w:r>
      <w:proofErr w:type="spellEnd"/>
      <w:r>
        <w:rPr>
          <w:rFonts w:ascii="Calibri" w:hAnsi="Calibri" w:cs="Calibri"/>
        </w:rPr>
        <w:t xml:space="preserve"> been able to deliver to MOP11? Several, and important, priority areas of advice and guidance under the </w:t>
      </w:r>
      <w:proofErr w:type="spellStart"/>
      <w:r>
        <w:rPr>
          <w:rFonts w:ascii="Calibri" w:hAnsi="Calibri" w:cs="Calibri"/>
        </w:rPr>
        <w:t>TSc</w:t>
      </w:r>
      <w:proofErr w:type="spellEnd"/>
      <w:r>
        <w:rPr>
          <w:rFonts w:ascii="Calibri" w:hAnsi="Calibri" w:cs="Calibri"/>
        </w:rPr>
        <w:t xml:space="preserve"> “work plan” have been progressed. Highlights include:</w:t>
      </w:r>
    </w:p>
    <w:p w14:paraId="0A1B4E1C" w14:textId="77777777" w:rsidR="00BD4205" w:rsidRDefault="00BD4205" w:rsidP="00BD4205">
      <w:pPr>
        <w:spacing w:before="100" w:beforeAutospacing="1" w:after="100" w:afterAutospacing="1"/>
        <w:rPr>
          <w:rFonts w:ascii="Calibri" w:hAnsi="Calibri" w:cs="Calibri"/>
          <w:b/>
        </w:rPr>
      </w:pPr>
      <w:r>
        <w:rPr>
          <w:rFonts w:ascii="Calibri" w:hAnsi="Calibri" w:cs="Calibri"/>
          <w:b/>
        </w:rPr>
        <w:t xml:space="preserve">A. </w:t>
      </w:r>
      <w:r w:rsidRPr="00BA6768">
        <w:rPr>
          <w:rFonts w:ascii="Calibri" w:hAnsi="Calibri" w:cs="Calibri"/>
          <w:b/>
        </w:rPr>
        <w:t>Small Grants Fund for Working Groups and Task Forces</w:t>
      </w:r>
      <w:r>
        <w:rPr>
          <w:rFonts w:ascii="Calibri" w:hAnsi="Calibri" w:cs="Calibri"/>
          <w:b/>
        </w:rPr>
        <w:t xml:space="preserve"> </w:t>
      </w:r>
    </w:p>
    <w:p w14:paraId="54902B9D" w14:textId="77777777" w:rsidR="00BD4205" w:rsidRPr="00BA6768" w:rsidRDefault="00BD4205" w:rsidP="00BD4205">
      <w:pPr>
        <w:spacing w:before="100" w:beforeAutospacing="1" w:after="100" w:afterAutospacing="1"/>
        <w:rPr>
          <w:rFonts w:ascii="Calibri" w:hAnsi="Calibri" w:cs="Calibri"/>
        </w:rPr>
      </w:pPr>
      <w:r>
        <w:rPr>
          <w:rFonts w:ascii="Calibri" w:hAnsi="Calibri" w:cs="Calibri"/>
        </w:rPr>
        <w:t xml:space="preserve">Annually, following initial screening by Secretariat and assessment by relevant WG/TF Chairs/leads, members of the </w:t>
      </w:r>
      <w:proofErr w:type="spellStart"/>
      <w:r>
        <w:rPr>
          <w:rFonts w:ascii="Calibri" w:hAnsi="Calibri" w:cs="Calibri"/>
        </w:rPr>
        <w:t>TSc</w:t>
      </w:r>
      <w:proofErr w:type="spellEnd"/>
      <w:r>
        <w:rPr>
          <w:rFonts w:ascii="Calibri" w:hAnsi="Calibri" w:cs="Calibri"/>
        </w:rPr>
        <w:t xml:space="preserve"> undertake a comparative assessment of all valid project proposals and make recommendations to the EAAFP Secretariat on the proposals which should receive available funding. The outcomes of SGF project funding for 2018-2022 are </w:t>
      </w:r>
      <w:proofErr w:type="spellStart"/>
      <w:r>
        <w:rPr>
          <w:rFonts w:ascii="Calibri" w:hAnsi="Calibri" w:cs="Calibri"/>
        </w:rPr>
        <w:t>summarised</w:t>
      </w:r>
      <w:proofErr w:type="spellEnd"/>
      <w:r>
        <w:rPr>
          <w:rFonts w:ascii="Calibri" w:hAnsi="Calibri" w:cs="Calibri"/>
        </w:rPr>
        <w:t xml:space="preserve"> by the Secretariat in MOP11 Doc. 9. Note that some approved projects could not be delivered because of COVID restrictions.</w:t>
      </w:r>
    </w:p>
    <w:p w14:paraId="39E5FCA7"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Since 2018, and in the light of their experience in assessing project proposals, the </w:t>
      </w:r>
      <w:proofErr w:type="spellStart"/>
      <w:r>
        <w:rPr>
          <w:rFonts w:ascii="Calibri" w:hAnsi="Calibri" w:cs="Calibri"/>
        </w:rPr>
        <w:t>TSc</w:t>
      </w:r>
      <w:proofErr w:type="spellEnd"/>
      <w:r>
        <w:rPr>
          <w:rFonts w:ascii="Calibri" w:hAnsi="Calibri" w:cs="Calibri"/>
        </w:rPr>
        <w:t xml:space="preserve"> team has also made recommendations for improvements for clarity to various aspects of the project proposal form, and has also identified that projects which focus on CEPA (Communications, Education, Participation &amp; Awareness) are challenging to assess comparatively with those with a focus on waterbird scientific research issues.</w:t>
      </w:r>
    </w:p>
    <w:p w14:paraId="471A6B9C"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At the time of preparing this report, the </w:t>
      </w:r>
      <w:proofErr w:type="spellStart"/>
      <w:r>
        <w:rPr>
          <w:rFonts w:ascii="Calibri" w:hAnsi="Calibri" w:cs="Calibri"/>
        </w:rPr>
        <w:t>TSc</w:t>
      </w:r>
      <w:proofErr w:type="spellEnd"/>
      <w:r>
        <w:rPr>
          <w:rFonts w:ascii="Calibri" w:hAnsi="Calibri" w:cs="Calibri"/>
        </w:rPr>
        <w:t xml:space="preserve"> team is preparing to review the 20 project proposals submitted for the 2023 SGF cycle. Currently the team is awaiting the initial review results from the leads of the relevant Working Groups/Task Forces. These are essential to have available so as to inform the </w:t>
      </w:r>
      <w:proofErr w:type="spellStart"/>
      <w:r>
        <w:rPr>
          <w:rFonts w:ascii="Calibri" w:hAnsi="Calibri" w:cs="Calibri"/>
        </w:rPr>
        <w:t>TSc’s</w:t>
      </w:r>
      <w:proofErr w:type="spellEnd"/>
      <w:r>
        <w:rPr>
          <w:rFonts w:ascii="Calibri" w:hAnsi="Calibri" w:cs="Calibri"/>
        </w:rPr>
        <w:t xml:space="preserve"> reviews, since for any submitted proposal it must be absolutely clear that its implementation will contribute directly to the WG/TF work plan and objectives.</w:t>
      </w:r>
    </w:p>
    <w:p w14:paraId="5B9F0A73" w14:textId="77777777" w:rsidR="00BD4205" w:rsidRDefault="00BD4205" w:rsidP="00BD4205">
      <w:pPr>
        <w:spacing w:before="100" w:beforeAutospacing="1" w:after="100" w:afterAutospacing="1"/>
        <w:rPr>
          <w:rFonts w:ascii="Calibri" w:hAnsi="Calibri" w:cs="Calibri"/>
          <w:b/>
        </w:rPr>
      </w:pPr>
      <w:r>
        <w:rPr>
          <w:rFonts w:ascii="Calibri" w:hAnsi="Calibri" w:cs="Calibri"/>
          <w:b/>
        </w:rPr>
        <w:t>B. Site Information Sheets (SIS) for new Flyway Network Sites (FNS) and updates to existing FNSs</w:t>
      </w:r>
    </w:p>
    <w:p w14:paraId="7F60C241" w14:textId="77777777" w:rsidR="00BD4205" w:rsidRPr="001610AD" w:rsidRDefault="00BD4205" w:rsidP="00BD4205">
      <w:pPr>
        <w:spacing w:before="100" w:beforeAutospacing="1" w:after="100" w:afterAutospacing="1"/>
        <w:rPr>
          <w:rFonts w:ascii="Calibri" w:hAnsi="Calibri" w:cs="Calibri"/>
        </w:rPr>
      </w:pPr>
      <w:r>
        <w:rPr>
          <w:rFonts w:ascii="Calibri" w:hAnsi="Calibri" w:cs="Calibri"/>
        </w:rPr>
        <w:lastRenderedPageBreak/>
        <w:t xml:space="preserve">Following initial checking by the EAAFP Secretariat (Science Unit) of SISs submitted by Partners, the </w:t>
      </w:r>
      <w:proofErr w:type="spellStart"/>
      <w:r>
        <w:rPr>
          <w:rFonts w:ascii="Calibri" w:hAnsi="Calibri" w:cs="Calibri"/>
        </w:rPr>
        <w:t>TSc</w:t>
      </w:r>
      <w:proofErr w:type="spellEnd"/>
      <w:r>
        <w:rPr>
          <w:rFonts w:ascii="Calibri" w:hAnsi="Calibri" w:cs="Calibri"/>
        </w:rPr>
        <w:t xml:space="preserve"> role is to check, review and advise on the scientific and technical content of each SIS, and in particular to confirm that the site qualifies under the designation Criteria, and should be designated.</w:t>
      </w:r>
    </w:p>
    <w:p w14:paraId="3E0927B5"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Members of the </w:t>
      </w:r>
      <w:proofErr w:type="spellStart"/>
      <w:r>
        <w:rPr>
          <w:rFonts w:ascii="Calibri" w:hAnsi="Calibri" w:cs="Calibri"/>
        </w:rPr>
        <w:t>TSc</w:t>
      </w:r>
      <w:proofErr w:type="spellEnd"/>
      <w:r>
        <w:rPr>
          <w:rFonts w:ascii="Calibri" w:hAnsi="Calibri" w:cs="Calibri"/>
        </w:rPr>
        <w:t xml:space="preserve"> team have, since 2018, undertaken this role of reviewing and subsequently approving the scientific and technical content of SISs for FNS designation (see also MOP11 Doc.12). The </w:t>
      </w:r>
      <w:proofErr w:type="spellStart"/>
      <w:r>
        <w:rPr>
          <w:rFonts w:ascii="Calibri" w:hAnsi="Calibri" w:cs="Calibri"/>
        </w:rPr>
        <w:t>TSc</w:t>
      </w:r>
      <w:proofErr w:type="spellEnd"/>
      <w:r>
        <w:rPr>
          <w:rFonts w:ascii="Calibri" w:hAnsi="Calibri" w:cs="Calibri"/>
        </w:rPr>
        <w:t xml:space="preserve"> understands that currently several other FNS SISs are in the pipeline but have not yet reached the </w:t>
      </w:r>
      <w:proofErr w:type="spellStart"/>
      <w:r>
        <w:rPr>
          <w:rFonts w:ascii="Calibri" w:hAnsi="Calibri" w:cs="Calibri"/>
        </w:rPr>
        <w:t>TSc</w:t>
      </w:r>
      <w:proofErr w:type="spellEnd"/>
      <w:r>
        <w:rPr>
          <w:rFonts w:ascii="Calibri" w:hAnsi="Calibri" w:cs="Calibri"/>
        </w:rPr>
        <w:t xml:space="preserve"> for evaluation.</w:t>
      </w:r>
    </w:p>
    <w:p w14:paraId="00451A68"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Requests had been made at MOP10 and previously for consideration of revisions to the SIS to simplify its structure so as to make it easier for Partners to complete for future FNS designations and SIS updates. </w:t>
      </w:r>
    </w:p>
    <w:p w14:paraId="7612BE7A"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In undertaking a review in 2022 of the SIS structure and content, </w:t>
      </w:r>
      <w:proofErr w:type="spellStart"/>
      <w:r>
        <w:rPr>
          <w:rFonts w:ascii="Calibri" w:hAnsi="Calibri" w:cs="Calibri"/>
        </w:rPr>
        <w:t>TSc</w:t>
      </w:r>
      <w:proofErr w:type="spellEnd"/>
      <w:r>
        <w:rPr>
          <w:rFonts w:ascii="Calibri" w:hAnsi="Calibri" w:cs="Calibri"/>
        </w:rPr>
        <w:t xml:space="preserve"> members and the Secretariat have further identified a number of other related problems and discrepancies in the current (2017 version) of the SIS, and which from review of the experience of Partner’s challenges of correctly filling in the SIS need to be addressed so as to streamline and clarify aspects the FNS designation process.</w:t>
      </w:r>
    </w:p>
    <w:p w14:paraId="48223F17" w14:textId="77777777" w:rsidR="00BD4205" w:rsidRDefault="00BD4205" w:rsidP="00BD4205">
      <w:pPr>
        <w:spacing w:before="100" w:beforeAutospacing="1" w:after="100" w:afterAutospacing="1"/>
        <w:rPr>
          <w:rFonts w:ascii="Calibri" w:hAnsi="Calibri" w:cs="Calibri"/>
        </w:rPr>
      </w:pPr>
      <w:r>
        <w:rPr>
          <w:rFonts w:ascii="Calibri" w:hAnsi="Calibri" w:cs="Calibri"/>
        </w:rPr>
        <w:t>In the light of this review, proposals for SIS re-structuring and amendment have been submitted to Partners as MOP11 DD.5. In support of this, further details of the background and rationales for these amendments are provided in MOP11 Doc. 13.</w:t>
      </w:r>
    </w:p>
    <w:p w14:paraId="64DB2574" w14:textId="77777777" w:rsidR="00BD4205" w:rsidRDefault="00BD4205" w:rsidP="00BD4205">
      <w:pPr>
        <w:spacing w:before="100" w:beforeAutospacing="1" w:after="100" w:afterAutospacing="1"/>
        <w:rPr>
          <w:rFonts w:ascii="Calibri" w:hAnsi="Calibri" w:cs="Calibri"/>
          <w:b/>
        </w:rPr>
      </w:pPr>
      <w:r>
        <w:rPr>
          <w:rFonts w:ascii="Calibri" w:hAnsi="Calibri" w:cs="Calibri"/>
          <w:b/>
        </w:rPr>
        <w:t>C. 1</w:t>
      </w:r>
      <w:r w:rsidRPr="006B392E">
        <w:rPr>
          <w:rFonts w:ascii="Calibri" w:hAnsi="Calibri" w:cs="Calibri"/>
          <w:b/>
          <w:vertAlign w:val="superscript"/>
        </w:rPr>
        <w:t>st</w:t>
      </w:r>
      <w:r>
        <w:rPr>
          <w:rFonts w:ascii="Calibri" w:hAnsi="Calibri" w:cs="Calibri"/>
          <w:b/>
        </w:rPr>
        <w:t xml:space="preserve"> edition of EAAFP Conversation Status Review (CSR1)</w:t>
      </w:r>
    </w:p>
    <w:p w14:paraId="4638B3A6" w14:textId="77777777" w:rsidR="00BD4205" w:rsidRDefault="00BD4205" w:rsidP="00BD4205">
      <w:pPr>
        <w:spacing w:before="100" w:beforeAutospacing="1" w:after="100" w:afterAutospacing="1"/>
        <w:rPr>
          <w:rFonts w:ascii="Calibri" w:hAnsi="Calibri" w:cs="Calibri"/>
        </w:rPr>
      </w:pPr>
      <w:r w:rsidRPr="00894716">
        <w:rPr>
          <w:rFonts w:ascii="Calibri" w:hAnsi="Calibri" w:cs="Calibri"/>
        </w:rPr>
        <w:t>Th</w:t>
      </w:r>
      <w:r>
        <w:rPr>
          <w:rFonts w:ascii="Calibri" w:hAnsi="Calibri" w:cs="Calibri"/>
        </w:rPr>
        <w:t>e CSR1</w:t>
      </w:r>
      <w:r w:rsidRPr="00894716">
        <w:rPr>
          <w:rFonts w:ascii="Calibri" w:hAnsi="Calibri" w:cs="Calibri"/>
        </w:rPr>
        <w:t xml:space="preserve"> was requested </w:t>
      </w:r>
      <w:r>
        <w:rPr>
          <w:rFonts w:ascii="Calibri" w:hAnsi="Calibri" w:cs="Calibri"/>
        </w:rPr>
        <w:t xml:space="preserve">as a very high priority by Partners during MOP10, and likewise </w:t>
      </w:r>
      <w:proofErr w:type="spellStart"/>
      <w:r>
        <w:rPr>
          <w:rFonts w:ascii="Calibri" w:hAnsi="Calibri" w:cs="Calibri"/>
        </w:rPr>
        <w:t>recognised</w:t>
      </w:r>
      <w:proofErr w:type="spellEnd"/>
      <w:r>
        <w:rPr>
          <w:rFonts w:ascii="Calibri" w:hAnsi="Calibri" w:cs="Calibri"/>
        </w:rPr>
        <w:t xml:space="preserve"> by the </w:t>
      </w:r>
      <w:proofErr w:type="spellStart"/>
      <w:r>
        <w:rPr>
          <w:rFonts w:ascii="Calibri" w:hAnsi="Calibri" w:cs="Calibri"/>
        </w:rPr>
        <w:t>TSc</w:t>
      </w:r>
      <w:proofErr w:type="spellEnd"/>
      <w:r>
        <w:rPr>
          <w:rFonts w:ascii="Calibri" w:hAnsi="Calibri" w:cs="Calibri"/>
        </w:rPr>
        <w:t xml:space="preserve"> in its ‘Work Plan”, given that many EAAFP populations have been reported as being in decline, but that the ‘latest’ estimates available (WPE5) were now in many cases decades out-of-date. </w:t>
      </w:r>
    </w:p>
    <w:p w14:paraId="0850BF59"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However, despite this high priority, at the time of MOP10 there was no core budget nor any voluntary additional contributions pledged to fund this very substantial piece of priority work. So how was this key work resourced so as to deliver its results prior to MO11? It is understood that no EAAFP Partner provided any funds towards this work: the only government contribution was from Norway (Norwegian Environment Agency– NEA), facilitated by the </w:t>
      </w:r>
      <w:proofErr w:type="spellStart"/>
      <w:r>
        <w:rPr>
          <w:rFonts w:ascii="Calibri" w:hAnsi="Calibri" w:cs="Calibri"/>
        </w:rPr>
        <w:t>TSc</w:t>
      </w:r>
      <w:proofErr w:type="spellEnd"/>
      <w:r>
        <w:rPr>
          <w:rFonts w:ascii="Calibri" w:hAnsi="Calibri" w:cs="Calibri"/>
        </w:rPr>
        <w:t xml:space="preserve">. </w:t>
      </w:r>
    </w:p>
    <w:p w14:paraId="1CC97D38"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However, as a consequence of COVID and the consequent lockdowns and travel restrictions, the </w:t>
      </w:r>
      <w:proofErr w:type="spellStart"/>
      <w:r>
        <w:rPr>
          <w:rFonts w:ascii="Calibri" w:hAnsi="Calibri" w:cs="Calibri"/>
        </w:rPr>
        <w:t>TSc</w:t>
      </w:r>
      <w:proofErr w:type="spellEnd"/>
      <w:r>
        <w:rPr>
          <w:rFonts w:ascii="Calibri" w:hAnsi="Calibri" w:cs="Calibri"/>
        </w:rPr>
        <w:t xml:space="preserve"> understands that underspends in other Secretariat budget lines were identified, and that the Finance sub-Committee and Management Committee agreed to the reallocation of these funds to the CSR1 work. This is very much appreciated, but raises warning signals concerning the future capacity of the Partnership to deliver multiple instructions from Partners with often substantial resourcing and capacity requirements, but no funding.</w:t>
      </w:r>
    </w:p>
    <w:p w14:paraId="78D5968C" w14:textId="77777777" w:rsidR="00BD4205" w:rsidRDefault="00BD4205" w:rsidP="00BD4205">
      <w:pPr>
        <w:spacing w:before="100" w:beforeAutospacing="1" w:after="100" w:afterAutospacing="1"/>
        <w:rPr>
          <w:rFonts w:ascii="Calibri" w:hAnsi="Calibri" w:cs="Calibri"/>
        </w:rPr>
      </w:pPr>
      <w:r>
        <w:rPr>
          <w:rFonts w:ascii="Calibri" w:hAnsi="Calibri" w:cs="Calibri"/>
        </w:rPr>
        <w:t>The Secretariat commissioned Wetlands International to undertake the CSR1 work, the approach for which has been modelled closely on WI’s experience of successful delivery of Conservation Status Reviews for the African Eurasian Migratory waterbird Agreement (AEWA): to date there have been eight such AEWA CSRs delivered.</w:t>
      </w:r>
    </w:p>
    <w:p w14:paraId="34FD6475" w14:textId="77777777" w:rsidR="00BD4205" w:rsidRDefault="00BD4205" w:rsidP="00BD4205">
      <w:pPr>
        <w:spacing w:before="100" w:beforeAutospacing="1" w:after="100" w:afterAutospacing="1"/>
        <w:rPr>
          <w:rFonts w:ascii="Calibri" w:hAnsi="Calibri" w:cs="Calibri"/>
        </w:rPr>
      </w:pPr>
      <w:r>
        <w:rPr>
          <w:rFonts w:ascii="Calibri" w:hAnsi="Calibri" w:cs="Calibri"/>
        </w:rPr>
        <w:lastRenderedPageBreak/>
        <w:t xml:space="preserve">Members of the EAAFP </w:t>
      </w:r>
      <w:proofErr w:type="spellStart"/>
      <w:r>
        <w:rPr>
          <w:rFonts w:ascii="Calibri" w:hAnsi="Calibri" w:cs="Calibri"/>
        </w:rPr>
        <w:t>TSc</w:t>
      </w:r>
      <w:proofErr w:type="spellEnd"/>
      <w:r>
        <w:rPr>
          <w:rFonts w:ascii="Calibri" w:hAnsi="Calibri" w:cs="Calibri"/>
        </w:rPr>
        <w:t xml:space="preserve"> have been involved throughout in the CSR1 preparation process, in advising on its structure and content, in line with the CSR1 work plan and schedule agreed in 2019/2020. Also, in line with this agreed work plan in mid-2022 the </w:t>
      </w:r>
      <w:proofErr w:type="spellStart"/>
      <w:r>
        <w:rPr>
          <w:rFonts w:ascii="Calibri" w:hAnsi="Calibri" w:cs="Calibri"/>
        </w:rPr>
        <w:t>TSc</w:t>
      </w:r>
      <w:proofErr w:type="spellEnd"/>
      <w:r>
        <w:rPr>
          <w:rFonts w:ascii="Calibri" w:hAnsi="Calibri" w:cs="Calibri"/>
        </w:rPr>
        <w:t xml:space="preserve"> was requested to review and approve the final draft CSR1. This it did in July 2022, subject to addressing some final editorial matters. </w:t>
      </w:r>
    </w:p>
    <w:p w14:paraId="7803B00C"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The </w:t>
      </w:r>
      <w:proofErr w:type="spellStart"/>
      <w:r>
        <w:rPr>
          <w:rFonts w:ascii="Calibri" w:hAnsi="Calibri" w:cs="Calibri"/>
        </w:rPr>
        <w:t>TSc</w:t>
      </w:r>
      <w:proofErr w:type="spellEnd"/>
      <w:r>
        <w:rPr>
          <w:rFonts w:ascii="Calibri" w:hAnsi="Calibri" w:cs="Calibri"/>
        </w:rPr>
        <w:t xml:space="preserve"> also advised that, as a technical report, the CSR1 should be issued without further delay, particularly given the urgent need to make the updated biogeographic population estimates and 1% thresholds available to partners in their designations and updating of Flyway Network Sites. Such approval of technical materials is wholly in line with </w:t>
      </w:r>
      <w:r>
        <w:rPr>
          <w:rFonts w:ascii="Calibri" w:hAnsi="Calibri" w:cs="Calibri"/>
          <w:i/>
        </w:rPr>
        <w:t xml:space="preserve">inter alia </w:t>
      </w:r>
      <w:r>
        <w:rPr>
          <w:rFonts w:ascii="Calibri" w:hAnsi="Calibri" w:cs="Calibri"/>
        </w:rPr>
        <w:t xml:space="preserve">the </w:t>
      </w:r>
      <w:proofErr w:type="spellStart"/>
      <w:r>
        <w:rPr>
          <w:rFonts w:ascii="Calibri" w:hAnsi="Calibri" w:cs="Calibri"/>
        </w:rPr>
        <w:t>TSc’s</w:t>
      </w:r>
      <w:proofErr w:type="spellEnd"/>
      <w:r>
        <w:rPr>
          <w:rFonts w:ascii="Calibri" w:hAnsi="Calibri" w:cs="Calibri"/>
        </w:rPr>
        <w:t xml:space="preserve"> role in approving new and updated Site Information Sheets (SIS) for Flyway Network Site designations. It is also in line with long-established practice by the technical bodies of other MEAs, e.g. the AEWA Technical Committee (and its approval of AEWA CSRs) and Ramsar’s Scientific &amp; Technical Review Panel in its approval of technical reports for publication.</w:t>
      </w:r>
    </w:p>
    <w:p w14:paraId="4085AA81" w14:textId="77777777" w:rsidR="00BD4205" w:rsidRDefault="00BD4205" w:rsidP="00BD4205">
      <w:pPr>
        <w:spacing w:before="100" w:beforeAutospacing="1" w:after="100" w:afterAutospacing="1"/>
        <w:rPr>
          <w:rFonts w:ascii="Calibri" w:hAnsi="Calibri" w:cs="Calibri"/>
        </w:rPr>
      </w:pPr>
      <w:r>
        <w:rPr>
          <w:rFonts w:ascii="Calibri" w:hAnsi="Calibri" w:cs="Calibri"/>
        </w:rPr>
        <w:t>The EAFP CSR1 is provided to MOP11 as Document 14. The CSR1 also made a number of recommendations concerning improving future mechanisms for waterbird population estimates, and these are provided for MOP11 consideration as Draft Decision DD.8.</w:t>
      </w:r>
    </w:p>
    <w:p w14:paraId="62EAF14D" w14:textId="77777777" w:rsidR="00BD4205" w:rsidRDefault="00BD4205" w:rsidP="00BD4205">
      <w:pPr>
        <w:spacing w:before="100" w:beforeAutospacing="1" w:after="100" w:afterAutospacing="1"/>
        <w:rPr>
          <w:rFonts w:ascii="Calibri" w:hAnsi="Calibri" w:cs="Calibri"/>
          <w:b/>
        </w:rPr>
      </w:pPr>
      <w:r>
        <w:rPr>
          <w:rFonts w:ascii="Calibri" w:hAnsi="Calibri" w:cs="Calibri"/>
          <w:b/>
        </w:rPr>
        <w:t xml:space="preserve">D. New and emerging scientific &amp; technical issues (Decision MOP10.4 annex 1 6h). </w:t>
      </w:r>
    </w:p>
    <w:p w14:paraId="6A37FA07" w14:textId="77777777" w:rsidR="00BD4205" w:rsidRDefault="00BD4205" w:rsidP="00BD4205">
      <w:pPr>
        <w:spacing w:before="100" w:beforeAutospacing="1" w:after="100" w:afterAutospacing="1"/>
        <w:rPr>
          <w:rFonts w:ascii="Calibri" w:hAnsi="Calibri" w:cs="Calibri"/>
        </w:rPr>
      </w:pPr>
      <w:r w:rsidRPr="001A4112">
        <w:rPr>
          <w:rFonts w:ascii="Calibri" w:hAnsi="Calibri" w:cs="Calibri"/>
        </w:rPr>
        <w:t xml:space="preserve">Decision MOP10.4 annex 1 6h requests the </w:t>
      </w:r>
      <w:proofErr w:type="spellStart"/>
      <w:r>
        <w:rPr>
          <w:rFonts w:ascii="Calibri" w:hAnsi="Calibri" w:cs="Calibri"/>
        </w:rPr>
        <w:t>TSc</w:t>
      </w:r>
      <w:proofErr w:type="spellEnd"/>
      <w:r w:rsidRPr="001A4112">
        <w:rPr>
          <w:rFonts w:ascii="Calibri" w:hAnsi="Calibri" w:cs="Calibri"/>
        </w:rPr>
        <w:t xml:space="preserve"> to bring to the attention of Partners any new and</w:t>
      </w:r>
      <w:r>
        <w:rPr>
          <w:rFonts w:ascii="Calibri" w:hAnsi="Calibri" w:cs="Calibri"/>
        </w:rPr>
        <w:t xml:space="preserve"> emerging issues concerning the conservation of migratory waterbirds and their habitats. During the August 2022 Partners’ webinar the </w:t>
      </w:r>
      <w:proofErr w:type="spellStart"/>
      <w:r>
        <w:rPr>
          <w:rFonts w:ascii="Calibri" w:hAnsi="Calibri" w:cs="Calibri"/>
        </w:rPr>
        <w:t>TSc</w:t>
      </w:r>
      <w:proofErr w:type="spellEnd"/>
      <w:r>
        <w:rPr>
          <w:rFonts w:ascii="Calibri" w:hAnsi="Calibri" w:cs="Calibri"/>
        </w:rPr>
        <w:t xml:space="preserve"> Chair drew attention to the resurgence of highly pathogenic avian influenza (HPAI), which in contrast to its previous emergence is not only affecting non-breeding and breeding </w:t>
      </w:r>
      <w:proofErr w:type="spellStart"/>
      <w:r>
        <w:rPr>
          <w:rFonts w:ascii="Calibri" w:hAnsi="Calibri" w:cs="Calibri"/>
        </w:rPr>
        <w:t>congregatory</w:t>
      </w:r>
      <w:proofErr w:type="spellEnd"/>
      <w:r>
        <w:rPr>
          <w:rFonts w:ascii="Calibri" w:hAnsi="Calibri" w:cs="Calibri"/>
        </w:rPr>
        <w:t xml:space="preserve"> waterbirds such as cranes, geese, swans and ducks, but also seabird breeding colonies in several parts of the world.</w:t>
      </w:r>
    </w:p>
    <w:p w14:paraId="007FBD55" w14:textId="77777777" w:rsidR="00BD4205" w:rsidRPr="001A4112" w:rsidRDefault="00BD4205" w:rsidP="00BD4205">
      <w:pPr>
        <w:rPr>
          <w:rFonts w:ascii="Calibri" w:hAnsi="Calibri" w:cs="Calibri"/>
          <w:color w:val="000000" w:themeColor="text1"/>
        </w:rPr>
      </w:pPr>
      <w:r w:rsidRPr="001A4112">
        <w:rPr>
          <w:rFonts w:ascii="Calibri" w:hAnsi="Calibri" w:cs="Calibri"/>
          <w:color w:val="000000" w:themeColor="text1"/>
        </w:rPr>
        <w:t>Subsequently, this issue has been the subject of considerable debate within the Flyway Partnership, and has led to the submission of MOP11 DD 9 (</w:t>
      </w:r>
      <w:r w:rsidRPr="001A4112">
        <w:rPr>
          <w:rFonts w:ascii="Calibri" w:hAnsi="Calibri" w:cs="Calibri"/>
          <w:i/>
          <w:color w:val="000000" w:themeColor="text1"/>
          <w:sz w:val="21"/>
          <w:szCs w:val="21"/>
          <w:shd w:val="clear" w:color="auto" w:fill="FFFFFF"/>
        </w:rPr>
        <w:t>Monitoring and Reducing Impact of HPAI and other avian diseases along the East Asian Australasian Flyway</w:t>
      </w:r>
      <w:r w:rsidRPr="001A4112">
        <w:rPr>
          <w:rFonts w:ascii="Calibri" w:hAnsi="Calibri" w:cs="Calibri"/>
          <w:color w:val="000000" w:themeColor="text1"/>
          <w:sz w:val="21"/>
          <w:szCs w:val="21"/>
          <w:shd w:val="clear" w:color="auto" w:fill="FFFFFF"/>
        </w:rPr>
        <w:t xml:space="preserve">), </w:t>
      </w:r>
      <w:r>
        <w:rPr>
          <w:rFonts w:ascii="Calibri" w:hAnsi="Calibri" w:cs="Calibri"/>
          <w:color w:val="000000" w:themeColor="text1"/>
          <w:sz w:val="21"/>
          <w:szCs w:val="21"/>
          <w:shd w:val="clear" w:color="auto" w:fill="FFFFFF"/>
        </w:rPr>
        <w:t xml:space="preserve">championed by the EAAFP Crane Working Group. </w:t>
      </w:r>
    </w:p>
    <w:p w14:paraId="3F8F10BD" w14:textId="77777777" w:rsidR="00BD4205" w:rsidRPr="001A4112" w:rsidRDefault="00BD4205" w:rsidP="00BD4205">
      <w:pPr>
        <w:spacing w:before="100" w:beforeAutospacing="1" w:after="100" w:afterAutospacing="1"/>
        <w:rPr>
          <w:rFonts w:ascii="Calibri" w:hAnsi="Calibri" w:cs="Calibri"/>
          <w:b/>
        </w:rPr>
      </w:pPr>
      <w:r>
        <w:rPr>
          <w:rFonts w:ascii="Calibri" w:hAnsi="Calibri" w:cs="Calibri"/>
          <w:b/>
        </w:rPr>
        <w:t xml:space="preserve">E. </w:t>
      </w:r>
      <w:proofErr w:type="spellStart"/>
      <w:r>
        <w:rPr>
          <w:rFonts w:ascii="Calibri" w:hAnsi="Calibri" w:cs="Calibri"/>
          <w:b/>
        </w:rPr>
        <w:t>TSc</w:t>
      </w:r>
      <w:proofErr w:type="spellEnd"/>
      <w:r>
        <w:rPr>
          <w:rFonts w:ascii="Calibri" w:hAnsi="Calibri" w:cs="Calibri"/>
          <w:b/>
        </w:rPr>
        <w:t xml:space="preserve"> review of scientific &amp; technical content of Draft MOP11 Decisions </w:t>
      </w:r>
    </w:p>
    <w:p w14:paraId="6E81F89A" w14:textId="77777777" w:rsidR="00BD4205" w:rsidRDefault="00BD4205" w:rsidP="00BD4205">
      <w:pPr>
        <w:spacing w:before="100" w:beforeAutospacing="1" w:after="100" w:afterAutospacing="1"/>
        <w:rPr>
          <w:rFonts w:ascii="Calibri" w:hAnsi="Calibri" w:cs="Calibri"/>
        </w:rPr>
      </w:pPr>
      <w:r w:rsidRPr="001A4112">
        <w:rPr>
          <w:rFonts w:ascii="Calibri" w:hAnsi="Calibri" w:cs="Calibri"/>
        </w:rPr>
        <w:t xml:space="preserve">Decision MOP10.4 annex 1 6c </w:t>
      </w:r>
      <w:r>
        <w:rPr>
          <w:rFonts w:ascii="Calibri" w:hAnsi="Calibri" w:cs="Calibri"/>
        </w:rPr>
        <w:t xml:space="preserve"> requests the </w:t>
      </w:r>
      <w:proofErr w:type="spellStart"/>
      <w:r>
        <w:rPr>
          <w:rFonts w:ascii="Calibri" w:hAnsi="Calibri" w:cs="Calibri"/>
        </w:rPr>
        <w:t>TSc</w:t>
      </w:r>
      <w:proofErr w:type="spellEnd"/>
      <w:r>
        <w:rPr>
          <w:rFonts w:ascii="Calibri" w:hAnsi="Calibri" w:cs="Calibri"/>
        </w:rPr>
        <w:t xml:space="preserve"> to advise on the scientific and technical content of Draft Decisions submitted to MOP</w:t>
      </w:r>
      <w:r w:rsidRPr="001A4112">
        <w:rPr>
          <w:rFonts w:ascii="Calibri" w:hAnsi="Calibri" w:cs="Calibri"/>
        </w:rPr>
        <w:t>.</w:t>
      </w:r>
      <w:r>
        <w:rPr>
          <w:rFonts w:ascii="Calibri" w:hAnsi="Calibri" w:cs="Calibri"/>
        </w:rPr>
        <w:t xml:space="preserve"> Members of the </w:t>
      </w:r>
      <w:proofErr w:type="spellStart"/>
      <w:r>
        <w:rPr>
          <w:rFonts w:ascii="Calibri" w:hAnsi="Calibri" w:cs="Calibri"/>
        </w:rPr>
        <w:t>TSc</w:t>
      </w:r>
      <w:proofErr w:type="spellEnd"/>
      <w:r>
        <w:rPr>
          <w:rFonts w:ascii="Calibri" w:hAnsi="Calibri" w:cs="Calibri"/>
        </w:rPr>
        <w:t xml:space="preserve"> are currently reviewing these, and will, as needed, report to Partners during MOP11 plenary consideration of each Draft Decision.</w:t>
      </w:r>
    </w:p>
    <w:p w14:paraId="0B2B1E5D" w14:textId="77777777" w:rsidR="00BD4205" w:rsidRPr="00502938" w:rsidRDefault="00BD4205" w:rsidP="00BD4205">
      <w:pPr>
        <w:spacing w:before="100" w:beforeAutospacing="1" w:after="100" w:afterAutospacing="1"/>
        <w:rPr>
          <w:rFonts w:ascii="Calibri" w:hAnsi="Calibri" w:cs="Calibri"/>
          <w:b/>
        </w:rPr>
      </w:pPr>
      <w:r>
        <w:rPr>
          <w:rFonts w:ascii="Calibri" w:hAnsi="Calibri" w:cs="Calibri"/>
          <w:b/>
        </w:rPr>
        <w:t xml:space="preserve">F. Working relationships between the </w:t>
      </w:r>
      <w:proofErr w:type="spellStart"/>
      <w:r>
        <w:rPr>
          <w:rFonts w:ascii="Calibri" w:hAnsi="Calibri" w:cs="Calibri"/>
          <w:b/>
        </w:rPr>
        <w:t>TSc</w:t>
      </w:r>
      <w:proofErr w:type="spellEnd"/>
      <w:r>
        <w:rPr>
          <w:rFonts w:ascii="Calibri" w:hAnsi="Calibri" w:cs="Calibri"/>
          <w:b/>
        </w:rPr>
        <w:t xml:space="preserve"> and Working Groups and Task Forces (WGs/TFs)</w:t>
      </w:r>
    </w:p>
    <w:p w14:paraId="1038975A" w14:textId="77777777" w:rsidR="00BD4205" w:rsidRDefault="00BD4205" w:rsidP="00BD4205">
      <w:pPr>
        <w:spacing w:before="100" w:beforeAutospacing="1" w:after="100" w:afterAutospacing="1"/>
        <w:rPr>
          <w:rFonts w:ascii="Calibri" w:hAnsi="Calibri" w:cs="Calibri"/>
        </w:rPr>
      </w:pPr>
      <w:r>
        <w:rPr>
          <w:rFonts w:ascii="Calibri" w:hAnsi="Calibri" w:cs="Calibri"/>
        </w:rPr>
        <w:t xml:space="preserve">As set out above, there are inconsistencies in what was adopted at MOP10 (Decision 3) in terms of the </w:t>
      </w:r>
      <w:proofErr w:type="spellStart"/>
      <w:r>
        <w:rPr>
          <w:rFonts w:ascii="Calibri" w:hAnsi="Calibri" w:cs="Calibri"/>
        </w:rPr>
        <w:t>organisational</w:t>
      </w:r>
      <w:proofErr w:type="spellEnd"/>
      <w:r>
        <w:rPr>
          <w:rFonts w:ascii="Calibri" w:hAnsi="Calibri" w:cs="Calibri"/>
        </w:rPr>
        <w:t xml:space="preserve"> structure chart in relation to its accompanying text description Concerning the inter-relationships between WGs/TFs and the </w:t>
      </w:r>
      <w:proofErr w:type="spellStart"/>
      <w:r>
        <w:rPr>
          <w:rFonts w:ascii="Calibri" w:hAnsi="Calibri" w:cs="Calibri"/>
        </w:rPr>
        <w:t>TSc</w:t>
      </w:r>
      <w:proofErr w:type="spellEnd"/>
      <w:r>
        <w:rPr>
          <w:rFonts w:ascii="Calibri" w:hAnsi="Calibri" w:cs="Calibri"/>
        </w:rPr>
        <w:t xml:space="preserve">. This has hindered further consideration of the development of more effective working relationships between the </w:t>
      </w:r>
      <w:proofErr w:type="spellStart"/>
      <w:r>
        <w:rPr>
          <w:rFonts w:ascii="Calibri" w:hAnsi="Calibri" w:cs="Calibri"/>
        </w:rPr>
        <w:t>TSc</w:t>
      </w:r>
      <w:proofErr w:type="spellEnd"/>
      <w:r>
        <w:rPr>
          <w:rFonts w:ascii="Calibri" w:hAnsi="Calibri" w:cs="Calibri"/>
        </w:rPr>
        <w:t xml:space="preserve"> and WGs/TFs, and needs Partners at MOP11 to resolve. </w:t>
      </w:r>
    </w:p>
    <w:p w14:paraId="661308B2" w14:textId="77777777" w:rsidR="00BD4205" w:rsidRDefault="00BD4205" w:rsidP="00BD4205">
      <w:pPr>
        <w:spacing w:before="100" w:beforeAutospacing="1" w:after="100" w:afterAutospacing="1"/>
        <w:rPr>
          <w:rFonts w:ascii="Calibri" w:hAnsi="Calibri" w:cs="Calibri"/>
        </w:rPr>
      </w:pPr>
      <w:r>
        <w:rPr>
          <w:rFonts w:ascii="Calibri" w:hAnsi="Calibri" w:cs="Calibri"/>
        </w:rPr>
        <w:lastRenderedPageBreak/>
        <w:t xml:space="preserve">Initial discussions in the sidelines of MOP10 (2018) on these matters have not subsequently progressed. A priority for the 2023-2025 cycle should be to get a better understanding of how the </w:t>
      </w:r>
      <w:proofErr w:type="spellStart"/>
      <w:r>
        <w:rPr>
          <w:rFonts w:ascii="Calibri" w:hAnsi="Calibri" w:cs="Calibri"/>
        </w:rPr>
        <w:t>TSc</w:t>
      </w:r>
      <w:proofErr w:type="spellEnd"/>
      <w:r>
        <w:rPr>
          <w:rFonts w:ascii="Calibri" w:hAnsi="Calibri" w:cs="Calibri"/>
        </w:rPr>
        <w:t xml:space="preserve"> can support WG/TF implementation work and priorities, and also which such groups are currently active, and which need potentially re-invigorating. </w:t>
      </w:r>
    </w:p>
    <w:p w14:paraId="03418CEE" w14:textId="77777777" w:rsidR="00BD4205" w:rsidRDefault="00BD4205" w:rsidP="00BD4205">
      <w:pPr>
        <w:spacing w:before="100" w:beforeAutospacing="1" w:after="100" w:afterAutospacing="1"/>
        <w:rPr>
          <w:rFonts w:ascii="Calibri" w:hAnsi="Calibri" w:cs="Calibri"/>
        </w:rPr>
      </w:pPr>
    </w:p>
    <w:p w14:paraId="04C82808" w14:textId="77777777" w:rsidR="00BD4205" w:rsidRPr="00D9628F" w:rsidRDefault="00BD4205" w:rsidP="00BD4205">
      <w:pPr>
        <w:jc w:val="center"/>
        <w:rPr>
          <w:rFonts w:ascii="Calibri" w:hAnsi="Calibri" w:cs="Calibri"/>
          <w:b/>
        </w:rPr>
      </w:pPr>
      <w:r w:rsidRPr="00D9628F">
        <w:rPr>
          <w:rFonts w:ascii="Calibri" w:hAnsi="Calibri" w:cs="Calibri"/>
          <w:b/>
        </w:rPr>
        <w:t xml:space="preserve">Annex 1. </w:t>
      </w:r>
      <w:proofErr w:type="spellStart"/>
      <w:r>
        <w:rPr>
          <w:rFonts w:ascii="Calibri" w:hAnsi="Calibri" w:cs="Calibri"/>
          <w:b/>
        </w:rPr>
        <w:t>TSc</w:t>
      </w:r>
      <w:proofErr w:type="spellEnd"/>
      <w:r w:rsidRPr="00D9628F">
        <w:rPr>
          <w:rFonts w:ascii="Calibri" w:hAnsi="Calibri" w:cs="Calibri"/>
          <w:b/>
        </w:rPr>
        <w:t xml:space="preserve"> members* appointed by Partners at MOP10</w:t>
      </w:r>
    </w:p>
    <w:p w14:paraId="0DB47CC6" w14:textId="77777777" w:rsidR="00BD4205" w:rsidRPr="00D9628F" w:rsidRDefault="00BD4205" w:rsidP="00BD4205">
      <w:pPr>
        <w:rPr>
          <w:rFonts w:ascii="Calibri" w:hAnsi="Calibri" w:cs="Calibri"/>
        </w:rPr>
      </w:pPr>
    </w:p>
    <w:p w14:paraId="6023756F" w14:textId="77777777" w:rsidR="00BD4205" w:rsidRPr="00557D9F" w:rsidRDefault="00BD4205" w:rsidP="00BD4205">
      <w:pPr>
        <w:rPr>
          <w:rFonts w:ascii="Calibri" w:hAnsi="Calibri" w:cs="Calibri"/>
        </w:rPr>
      </w:pPr>
      <w:r w:rsidRPr="00557D9F">
        <w:rPr>
          <w:rFonts w:ascii="Calibri" w:hAnsi="Calibri" w:cs="Calibri"/>
        </w:rPr>
        <w:t xml:space="preserve">* Note that the membership structure approved by Partners is for 10 </w:t>
      </w:r>
      <w:proofErr w:type="spellStart"/>
      <w:r>
        <w:rPr>
          <w:rFonts w:ascii="Calibri" w:hAnsi="Calibri" w:cs="Calibri"/>
        </w:rPr>
        <w:t>TSc</w:t>
      </w:r>
      <w:proofErr w:type="spellEnd"/>
      <w:r w:rsidRPr="00557D9F">
        <w:rPr>
          <w:rFonts w:ascii="Calibri" w:hAnsi="Calibri" w:cs="Calibri"/>
        </w:rPr>
        <w:t xml:space="preserve"> expert members. Only nine experts were nominated by Partners and appointed by MOP10</w:t>
      </w:r>
      <w:r>
        <w:rPr>
          <w:rFonts w:ascii="Calibri" w:hAnsi="Calibri" w:cs="Calibri"/>
        </w:rPr>
        <w:t xml:space="preserve"> (see table below)</w:t>
      </w:r>
      <w:r w:rsidRPr="00557D9F">
        <w:rPr>
          <w:rFonts w:ascii="Calibri" w:hAnsi="Calibri" w:cs="Calibri"/>
        </w:rPr>
        <w:t>. Subsequent to MOP10</w:t>
      </w:r>
      <w:r>
        <w:rPr>
          <w:rFonts w:ascii="Calibri" w:hAnsi="Calibri" w:cs="Calibri"/>
        </w:rPr>
        <w:t>,</w:t>
      </w:r>
      <w:r w:rsidRPr="00557D9F">
        <w:rPr>
          <w:rFonts w:ascii="Calibri" w:hAnsi="Calibri" w:cs="Calibri"/>
        </w:rPr>
        <w:t xml:space="preserve"> Dr James Robinson (Wildfowl &amp; Wetlands Trust) was proposed to fill the vacant </w:t>
      </w:r>
      <w:proofErr w:type="spellStart"/>
      <w:r>
        <w:rPr>
          <w:rFonts w:ascii="Calibri" w:hAnsi="Calibri" w:cs="Calibri"/>
        </w:rPr>
        <w:t>TSc</w:t>
      </w:r>
      <w:proofErr w:type="spellEnd"/>
      <w:r w:rsidRPr="00557D9F">
        <w:rPr>
          <w:rFonts w:ascii="Calibri" w:hAnsi="Calibri" w:cs="Calibri"/>
        </w:rPr>
        <w:t xml:space="preserve"> position, but the </w:t>
      </w:r>
      <w:proofErr w:type="spellStart"/>
      <w:r>
        <w:rPr>
          <w:rFonts w:ascii="Calibri" w:hAnsi="Calibri" w:cs="Calibri"/>
        </w:rPr>
        <w:t>TSc</w:t>
      </w:r>
      <w:proofErr w:type="spellEnd"/>
      <w:r w:rsidRPr="00557D9F">
        <w:rPr>
          <w:rFonts w:ascii="Calibri" w:hAnsi="Calibri" w:cs="Calibri"/>
        </w:rPr>
        <w:t xml:space="preserve"> Rules of Procedure ha</w:t>
      </w:r>
      <w:r>
        <w:rPr>
          <w:rFonts w:ascii="Calibri" w:hAnsi="Calibri" w:cs="Calibri"/>
        </w:rPr>
        <w:t>ve</w:t>
      </w:r>
      <w:r w:rsidRPr="00557D9F">
        <w:rPr>
          <w:rFonts w:ascii="Calibri" w:hAnsi="Calibri" w:cs="Calibri"/>
        </w:rPr>
        <w:t xml:space="preserve"> no provision for doing this. Accordingly, after consul</w:t>
      </w:r>
      <w:r>
        <w:rPr>
          <w:rFonts w:ascii="Calibri" w:hAnsi="Calibri" w:cs="Calibri"/>
        </w:rPr>
        <w:t>t</w:t>
      </w:r>
      <w:r w:rsidRPr="00557D9F">
        <w:rPr>
          <w:rFonts w:ascii="Calibri" w:hAnsi="Calibri" w:cs="Calibri"/>
        </w:rPr>
        <w:t xml:space="preserve">ation with the Management Committee it was agreed that the </w:t>
      </w:r>
      <w:proofErr w:type="spellStart"/>
      <w:r>
        <w:rPr>
          <w:rFonts w:ascii="Calibri" w:hAnsi="Calibri" w:cs="Calibri"/>
        </w:rPr>
        <w:t>TSc</w:t>
      </w:r>
      <w:proofErr w:type="spellEnd"/>
      <w:r w:rsidRPr="00557D9F">
        <w:rPr>
          <w:rFonts w:ascii="Calibri" w:hAnsi="Calibri" w:cs="Calibri"/>
        </w:rPr>
        <w:t xml:space="preserve"> Chair should invite Dr Robinson as an “invited expert observer” to the </w:t>
      </w:r>
      <w:proofErr w:type="spellStart"/>
      <w:r>
        <w:rPr>
          <w:rFonts w:ascii="Calibri" w:hAnsi="Calibri" w:cs="Calibri"/>
        </w:rPr>
        <w:t>TSc</w:t>
      </w:r>
      <w:proofErr w:type="spellEnd"/>
      <w:r w:rsidRPr="00557D9F">
        <w:rPr>
          <w:rFonts w:ascii="Calibri" w:hAnsi="Calibri" w:cs="Calibri"/>
        </w:rPr>
        <w:t xml:space="preserve">. Proposals for a mechanism </w:t>
      </w:r>
      <w:r>
        <w:rPr>
          <w:rFonts w:ascii="Calibri" w:hAnsi="Calibri" w:cs="Calibri"/>
        </w:rPr>
        <w:t xml:space="preserve">better </w:t>
      </w:r>
      <w:r w:rsidRPr="00557D9F">
        <w:rPr>
          <w:rFonts w:ascii="Calibri" w:hAnsi="Calibri" w:cs="Calibri"/>
        </w:rPr>
        <w:t xml:space="preserve">to address such intersessional </w:t>
      </w:r>
      <w:proofErr w:type="spellStart"/>
      <w:r>
        <w:rPr>
          <w:rFonts w:ascii="Calibri" w:hAnsi="Calibri" w:cs="Calibri"/>
        </w:rPr>
        <w:t>TSc</w:t>
      </w:r>
      <w:proofErr w:type="spellEnd"/>
      <w:r w:rsidRPr="00557D9F">
        <w:rPr>
          <w:rFonts w:ascii="Calibri" w:hAnsi="Calibri" w:cs="Calibri"/>
        </w:rPr>
        <w:t xml:space="preserve"> vacancies are made in MOP11 Draft Decision 4.</w:t>
      </w:r>
    </w:p>
    <w:p w14:paraId="4B5D1926" w14:textId="77777777" w:rsidR="00BD4205" w:rsidRPr="00501F77" w:rsidRDefault="00BD4205" w:rsidP="00BD4205"/>
    <w:p w14:paraId="4D9AA5AA" w14:textId="649EF7A0" w:rsidR="00BD4205" w:rsidRDefault="00BD4205" w:rsidP="00BD4205">
      <w:r>
        <w:rPr>
          <w:noProof/>
        </w:rPr>
        <w:drawing>
          <wp:inline distT="0" distB="0" distL="0" distR="0" wp14:anchorId="4B655C7D" wp14:editId="0A9A12B6">
            <wp:extent cx="6083300" cy="4280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 2023-02-21 at 15.51.29.png"/>
                    <pic:cNvPicPr/>
                  </pic:nvPicPr>
                  <pic:blipFill>
                    <a:blip r:embed="rId9">
                      <a:extLst>
                        <a:ext uri="{28A0092B-C50C-407E-A947-70E740481C1C}">
                          <a14:useLocalDpi xmlns:a14="http://schemas.microsoft.com/office/drawing/2010/main" val="0"/>
                        </a:ext>
                      </a:extLst>
                    </a:blip>
                    <a:stretch>
                      <a:fillRect/>
                    </a:stretch>
                  </pic:blipFill>
                  <pic:spPr>
                    <a:xfrm>
                      <a:off x="0" y="0"/>
                      <a:ext cx="6083300" cy="4280535"/>
                    </a:xfrm>
                    <a:prstGeom prst="rect">
                      <a:avLst/>
                    </a:prstGeom>
                  </pic:spPr>
                </pic:pic>
              </a:graphicData>
            </a:graphic>
          </wp:inline>
        </w:drawing>
      </w:r>
    </w:p>
    <w:p w14:paraId="002500C6" w14:textId="77777777" w:rsidR="001C3BC1" w:rsidRDefault="00BD4205" w:rsidP="008F1FF1">
      <w:pPr>
        <w:spacing w:before="191"/>
        <w:ind w:left="1776" w:right="2353"/>
        <w:jc w:val="center"/>
      </w:pPr>
      <w:r>
        <w:br w:type="page"/>
      </w:r>
    </w:p>
    <w:p w14:paraId="32461A57" w14:textId="77777777" w:rsidR="001C3BC1" w:rsidRDefault="001C3BC1" w:rsidP="008F1FF1">
      <w:pPr>
        <w:spacing w:before="191"/>
        <w:ind w:left="1776" w:right="2353"/>
        <w:jc w:val="center"/>
      </w:pPr>
    </w:p>
    <w:p w14:paraId="49139342" w14:textId="39891390" w:rsidR="008F1FF1" w:rsidRPr="001C3BC1" w:rsidRDefault="00E108EC" w:rsidP="00E108EC">
      <w:pPr>
        <w:spacing w:before="191"/>
        <w:ind w:right="2353"/>
        <w:jc w:val="center"/>
        <w:rPr>
          <w:b/>
          <w:sz w:val="32"/>
          <w:szCs w:val="24"/>
        </w:rPr>
      </w:pPr>
      <w:r>
        <w:rPr>
          <w:b/>
          <w:sz w:val="24"/>
          <w:szCs w:val="24"/>
        </w:rPr>
        <w:t xml:space="preserve">                               </w:t>
      </w:r>
      <w:r w:rsidR="008F1FF1" w:rsidRPr="001C3BC1">
        <w:rPr>
          <w:b/>
          <w:sz w:val="24"/>
          <w:szCs w:val="24"/>
        </w:rPr>
        <w:t>Report from the Chair of the Finance Sub-Committee</w:t>
      </w:r>
    </w:p>
    <w:p w14:paraId="0F051D1A" w14:textId="77777777" w:rsidR="008F1FF1" w:rsidRDefault="008F1FF1" w:rsidP="008F1FF1">
      <w:pPr>
        <w:pStyle w:val="BodyText"/>
        <w:spacing w:before="1"/>
        <w:rPr>
          <w:b/>
          <w:sz w:val="34"/>
        </w:rPr>
      </w:pPr>
    </w:p>
    <w:p w14:paraId="523A24EB" w14:textId="77777777" w:rsidR="008F1FF1" w:rsidRDefault="008F1FF1" w:rsidP="008F1FF1">
      <w:pPr>
        <w:ind w:left="210"/>
        <w:rPr>
          <w:i/>
        </w:rPr>
      </w:pPr>
      <w:r>
        <w:rPr>
          <w:i/>
        </w:rPr>
        <w:t>Prepared</w:t>
      </w:r>
      <w:r>
        <w:rPr>
          <w:i/>
          <w:spacing w:val="-5"/>
        </w:rPr>
        <w:t xml:space="preserve"> </w:t>
      </w:r>
      <w:r>
        <w:rPr>
          <w:i/>
        </w:rPr>
        <w:t>by</w:t>
      </w:r>
      <w:r>
        <w:rPr>
          <w:i/>
          <w:spacing w:val="-6"/>
        </w:rPr>
        <w:t xml:space="preserve"> </w:t>
      </w:r>
      <w:r>
        <w:rPr>
          <w:i/>
        </w:rPr>
        <w:t>Finance</w:t>
      </w:r>
      <w:r>
        <w:rPr>
          <w:i/>
          <w:spacing w:val="-5"/>
        </w:rPr>
        <w:t xml:space="preserve"> </w:t>
      </w:r>
      <w:r>
        <w:rPr>
          <w:i/>
        </w:rPr>
        <w:t>Sub-Committee</w:t>
      </w:r>
      <w:r>
        <w:rPr>
          <w:i/>
          <w:spacing w:val="-3"/>
        </w:rPr>
        <w:t xml:space="preserve"> </w:t>
      </w:r>
      <w:r>
        <w:rPr>
          <w:i/>
        </w:rPr>
        <w:t>and</w:t>
      </w:r>
      <w:r>
        <w:rPr>
          <w:i/>
          <w:spacing w:val="-5"/>
        </w:rPr>
        <w:t xml:space="preserve"> </w:t>
      </w:r>
      <w:r>
        <w:rPr>
          <w:i/>
        </w:rPr>
        <w:t>the</w:t>
      </w:r>
      <w:r>
        <w:rPr>
          <w:i/>
          <w:spacing w:val="-7"/>
        </w:rPr>
        <w:t xml:space="preserve"> </w:t>
      </w:r>
      <w:r>
        <w:rPr>
          <w:i/>
        </w:rPr>
        <w:t>EAAFP</w:t>
      </w:r>
      <w:r>
        <w:rPr>
          <w:i/>
          <w:spacing w:val="-5"/>
        </w:rPr>
        <w:t xml:space="preserve"> </w:t>
      </w:r>
      <w:r>
        <w:rPr>
          <w:i/>
          <w:spacing w:val="-2"/>
        </w:rPr>
        <w:t>Secretariat</w:t>
      </w:r>
    </w:p>
    <w:p w14:paraId="1BA7273C" w14:textId="70B9A999" w:rsidR="008F1FF1" w:rsidRDefault="008F1FF1" w:rsidP="008F1FF1">
      <w:pPr>
        <w:pStyle w:val="BodyText"/>
        <w:spacing w:before="7"/>
        <w:rPr>
          <w:i/>
          <w:sz w:val="25"/>
        </w:rPr>
      </w:pPr>
      <w:r>
        <w:rPr>
          <w:noProof/>
        </w:rPr>
        <mc:AlternateContent>
          <mc:Choice Requires="wps">
            <w:drawing>
              <wp:anchor distT="0" distB="0" distL="0" distR="0" simplePos="0" relativeHeight="251661312" behindDoc="1" locked="0" layoutInCell="1" allowOverlap="1" wp14:anchorId="0B194D3D" wp14:editId="4769D115">
                <wp:simplePos x="0" y="0"/>
                <wp:positionH relativeFrom="page">
                  <wp:posOffset>1184275</wp:posOffset>
                </wp:positionH>
                <wp:positionV relativeFrom="paragraph">
                  <wp:posOffset>220345</wp:posOffset>
                </wp:positionV>
                <wp:extent cx="5410200" cy="1758950"/>
                <wp:effectExtent l="0" t="0" r="1905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75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B4D787" w14:textId="77777777" w:rsidR="008F1FF1" w:rsidRDefault="008F1FF1" w:rsidP="008F1FF1">
                            <w:pPr>
                              <w:spacing w:before="71"/>
                              <w:ind w:left="3816"/>
                              <w:rPr>
                                <w:b/>
                              </w:rPr>
                            </w:pPr>
                            <w:r>
                              <w:rPr>
                                <w:b/>
                                <w:spacing w:val="-2"/>
                              </w:rPr>
                              <w:t>Summary</w:t>
                            </w:r>
                          </w:p>
                          <w:p w14:paraId="08BD42FE" w14:textId="77777777" w:rsidR="008F1FF1" w:rsidRDefault="008F1FF1" w:rsidP="008F1FF1">
                            <w:pPr>
                              <w:pStyle w:val="BodyText"/>
                              <w:spacing w:before="22" w:line="259" w:lineRule="auto"/>
                              <w:ind w:left="144"/>
                            </w:pPr>
                            <w:r>
                              <w:t>The</w:t>
                            </w:r>
                            <w:r>
                              <w:rPr>
                                <w:spacing w:val="-3"/>
                              </w:rPr>
                              <w:t xml:space="preserve"> </w:t>
                            </w:r>
                            <w:r>
                              <w:t>Finance</w:t>
                            </w:r>
                            <w:r>
                              <w:rPr>
                                <w:spacing w:val="-1"/>
                              </w:rPr>
                              <w:t xml:space="preserve"> </w:t>
                            </w:r>
                            <w:r>
                              <w:t>Sub-Committee</w:t>
                            </w:r>
                            <w:r>
                              <w:rPr>
                                <w:spacing w:val="-2"/>
                              </w:rPr>
                              <w:t xml:space="preserve"> </w:t>
                            </w:r>
                            <w:r>
                              <w:t>presents</w:t>
                            </w:r>
                            <w:r>
                              <w:rPr>
                                <w:spacing w:val="-2"/>
                              </w:rPr>
                              <w:t xml:space="preserve"> </w:t>
                            </w:r>
                            <w:r>
                              <w:t>its</w:t>
                            </w:r>
                            <w:r>
                              <w:rPr>
                                <w:spacing w:val="-5"/>
                              </w:rPr>
                              <w:t xml:space="preserve"> </w:t>
                            </w:r>
                            <w:r>
                              <w:t>report</w:t>
                            </w:r>
                            <w:r>
                              <w:rPr>
                                <w:spacing w:val="-3"/>
                              </w:rPr>
                              <w:t xml:space="preserve"> </w:t>
                            </w:r>
                            <w:r>
                              <w:t>to</w:t>
                            </w:r>
                            <w:r>
                              <w:rPr>
                                <w:spacing w:val="-2"/>
                              </w:rPr>
                              <w:t xml:space="preserve"> </w:t>
                            </w:r>
                            <w:r>
                              <w:t>the</w:t>
                            </w:r>
                            <w:r>
                              <w:rPr>
                                <w:spacing w:val="-5"/>
                              </w:rPr>
                              <w:t xml:space="preserve"> </w:t>
                            </w:r>
                            <w:r>
                              <w:t>eleventh</w:t>
                            </w:r>
                            <w:r>
                              <w:rPr>
                                <w:spacing w:val="-6"/>
                              </w:rPr>
                              <w:t xml:space="preserve"> </w:t>
                            </w:r>
                            <w:r>
                              <w:t>Meeting</w:t>
                            </w:r>
                            <w:r>
                              <w:rPr>
                                <w:spacing w:val="-4"/>
                              </w:rPr>
                              <w:t xml:space="preserve"> </w:t>
                            </w:r>
                            <w:r>
                              <w:t>of</w:t>
                            </w:r>
                            <w:r>
                              <w:rPr>
                                <w:spacing w:val="-5"/>
                              </w:rPr>
                              <w:t xml:space="preserve"> </w:t>
                            </w:r>
                            <w:r>
                              <w:t>Partners</w:t>
                            </w:r>
                            <w:r>
                              <w:rPr>
                                <w:spacing w:val="-3"/>
                              </w:rPr>
                              <w:t xml:space="preserve"> </w:t>
                            </w:r>
                            <w:r>
                              <w:t>(MoP11), and requests the MoP to:</w:t>
                            </w:r>
                          </w:p>
                          <w:p w14:paraId="5FBFC1CB" w14:textId="77777777" w:rsidR="008F1FF1" w:rsidRDefault="008F1FF1" w:rsidP="008F1FF1">
                            <w:pPr>
                              <w:pStyle w:val="BodyText"/>
                              <w:numPr>
                                <w:ilvl w:val="0"/>
                                <w:numId w:val="22"/>
                              </w:numPr>
                              <w:tabs>
                                <w:tab w:val="left" w:pos="864"/>
                                <w:tab w:val="left" w:pos="865"/>
                              </w:tabs>
                              <w:spacing w:line="259" w:lineRule="auto"/>
                              <w:ind w:right="1212"/>
                            </w:pPr>
                            <w:r>
                              <w:t>Note</w:t>
                            </w:r>
                            <w:r>
                              <w:rPr>
                                <w:spacing w:val="-5"/>
                              </w:rPr>
                              <w:t xml:space="preserve"> </w:t>
                            </w:r>
                            <w:r>
                              <w:t xml:space="preserve">the development of a Resourcing Plan to support the delivery of the Strategic Plan (approved at MoP 10) and endorse the Plan </w:t>
                            </w:r>
                          </w:p>
                          <w:p w14:paraId="5A7A7970" w14:textId="77777777" w:rsidR="008F1FF1" w:rsidRDefault="008F1FF1" w:rsidP="008F1FF1">
                            <w:pPr>
                              <w:pStyle w:val="BodyText"/>
                              <w:numPr>
                                <w:ilvl w:val="0"/>
                                <w:numId w:val="22"/>
                              </w:numPr>
                              <w:tabs>
                                <w:tab w:val="left" w:pos="864"/>
                                <w:tab w:val="left" w:pos="865"/>
                              </w:tabs>
                              <w:spacing w:line="256" w:lineRule="auto"/>
                              <w:ind w:right="285"/>
                            </w:pPr>
                            <w:r>
                              <w:t>Re-endorse</w:t>
                            </w:r>
                            <w:r>
                              <w:rPr>
                                <w:spacing w:val="-3"/>
                              </w:rPr>
                              <w:t xml:space="preserve"> </w:t>
                            </w:r>
                            <w:r>
                              <w:t>the</w:t>
                            </w:r>
                            <w:r>
                              <w:rPr>
                                <w:spacing w:val="-3"/>
                              </w:rPr>
                              <w:t xml:space="preserve"> </w:t>
                            </w:r>
                            <w:r>
                              <w:t>EAAFP</w:t>
                            </w:r>
                            <w:r>
                              <w:rPr>
                                <w:spacing w:val="-3"/>
                              </w:rPr>
                              <w:t xml:space="preserve"> </w:t>
                            </w:r>
                            <w:r>
                              <w:t>Voluntary</w:t>
                            </w:r>
                            <w:r>
                              <w:rPr>
                                <w:spacing w:val="-4"/>
                              </w:rPr>
                              <w:t xml:space="preserve"> </w:t>
                            </w:r>
                            <w:r>
                              <w:t>Fee</w:t>
                            </w:r>
                            <w:r>
                              <w:rPr>
                                <w:spacing w:val="-3"/>
                              </w:rPr>
                              <w:t xml:space="preserve"> </w:t>
                            </w:r>
                            <w:r>
                              <w:t>Contribution</w:t>
                            </w:r>
                            <w:r>
                              <w:rPr>
                                <w:spacing w:val="-7"/>
                              </w:rPr>
                              <w:t xml:space="preserve"> </w:t>
                            </w:r>
                            <w:r>
                              <w:t>system</w:t>
                            </w:r>
                            <w:r>
                              <w:rPr>
                                <w:spacing w:val="-3"/>
                              </w:rPr>
                              <w:t xml:space="preserve"> </w:t>
                            </w:r>
                            <w:r>
                              <w:t>and</w:t>
                            </w:r>
                            <w:r>
                              <w:rPr>
                                <w:spacing w:val="-5"/>
                              </w:rPr>
                              <w:t xml:space="preserve"> </w:t>
                            </w:r>
                            <w:r>
                              <w:t>encourage</w:t>
                            </w:r>
                            <w:r>
                              <w:rPr>
                                <w:spacing w:val="-6"/>
                              </w:rPr>
                              <w:t xml:space="preserve"> </w:t>
                            </w:r>
                            <w:r>
                              <w:t>Partners to make voluntary payments.</w:t>
                            </w:r>
                          </w:p>
                          <w:p w14:paraId="27919EB9" w14:textId="77777777" w:rsidR="008F1FF1" w:rsidRDefault="008F1FF1" w:rsidP="008F1FF1">
                            <w:pPr>
                              <w:pStyle w:val="BodyText"/>
                              <w:numPr>
                                <w:ilvl w:val="0"/>
                                <w:numId w:val="22"/>
                              </w:numPr>
                              <w:tabs>
                                <w:tab w:val="left" w:pos="864"/>
                                <w:tab w:val="left" w:pos="865"/>
                              </w:tabs>
                              <w:spacing w:line="256" w:lineRule="auto"/>
                              <w:ind w:right="285"/>
                            </w:pPr>
                            <w:r>
                              <w:t>Note the terms of use for the Contingency Fund</w:t>
                            </w:r>
                          </w:p>
                          <w:p w14:paraId="1882DB4D" w14:textId="77777777" w:rsidR="008F1FF1" w:rsidRDefault="008F1FF1" w:rsidP="008F1FF1">
                            <w:pPr>
                              <w:pStyle w:val="BodyText"/>
                              <w:spacing w:before="1"/>
                              <w:rPr>
                                <w:sz w:val="24"/>
                              </w:rPr>
                            </w:pPr>
                          </w:p>
                          <w:p w14:paraId="5AD91856" w14:textId="77777777" w:rsidR="008F1FF1" w:rsidRDefault="008F1FF1" w:rsidP="001C3BC1">
                            <w:pPr>
                              <w:pStyle w:val="BodyText"/>
                              <w:tabs>
                                <w:tab w:val="left" w:pos="864"/>
                                <w:tab w:val="left" w:pos="865"/>
                              </w:tabs>
                              <w:spacing w:befor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94D3D" id="_x0000_t202" coordsize="21600,21600" o:spt="202" path="m,l,21600r21600,l21600,xe">
                <v:stroke joinstyle="miter"/>
                <v:path gradientshapeok="t" o:connecttype="rect"/>
              </v:shapetype>
              <v:shape id="Text Box 3" o:spid="_x0000_s1026" type="#_x0000_t202" style="position:absolute;margin-left:93.25pt;margin-top:17.35pt;width:426pt;height:13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" filled="f">
                <v:textbox inset="0,0,0,0">
                  <w:txbxContent>
                    <w:p w14:paraId="64B4D787" w14:textId="77777777" w:rsidR="008F1FF1" w:rsidRDefault="008F1FF1" w:rsidP="008F1FF1">
                      <w:pPr>
                        <w:spacing w:before="71"/>
                        <w:ind w:left="3816"/>
                        <w:rPr>
                          <w:b/>
                        </w:rPr>
                      </w:pPr>
                      <w:r>
                        <w:rPr>
                          <w:b/>
                          <w:spacing w:val="-2"/>
                        </w:rPr>
                        <w:t>Summary</w:t>
                      </w:r>
                    </w:p>
                    <w:p w14:paraId="08BD42FE" w14:textId="77777777" w:rsidR="008F1FF1" w:rsidRDefault="008F1FF1" w:rsidP="008F1FF1">
                      <w:pPr>
                        <w:pStyle w:val="BodyText"/>
                        <w:spacing w:before="22" w:line="259" w:lineRule="auto"/>
                        <w:ind w:left="144"/>
                      </w:pPr>
                      <w:r>
                        <w:t>The</w:t>
                      </w:r>
                      <w:r>
                        <w:rPr>
                          <w:spacing w:val="-3"/>
                        </w:rPr>
                        <w:t xml:space="preserve"> </w:t>
                      </w:r>
                      <w:r>
                        <w:t>Finance</w:t>
                      </w:r>
                      <w:r>
                        <w:rPr>
                          <w:spacing w:val="-1"/>
                        </w:rPr>
                        <w:t xml:space="preserve"> </w:t>
                      </w:r>
                      <w:r>
                        <w:t>Sub-Committee</w:t>
                      </w:r>
                      <w:r>
                        <w:rPr>
                          <w:spacing w:val="-2"/>
                        </w:rPr>
                        <w:t xml:space="preserve"> </w:t>
                      </w:r>
                      <w:r>
                        <w:t>presents</w:t>
                      </w:r>
                      <w:r>
                        <w:rPr>
                          <w:spacing w:val="-2"/>
                        </w:rPr>
                        <w:t xml:space="preserve"> </w:t>
                      </w:r>
                      <w:r>
                        <w:t>its</w:t>
                      </w:r>
                      <w:r>
                        <w:rPr>
                          <w:spacing w:val="-5"/>
                        </w:rPr>
                        <w:t xml:space="preserve"> </w:t>
                      </w:r>
                      <w:r>
                        <w:t>report</w:t>
                      </w:r>
                      <w:r>
                        <w:rPr>
                          <w:spacing w:val="-3"/>
                        </w:rPr>
                        <w:t xml:space="preserve"> </w:t>
                      </w:r>
                      <w:r>
                        <w:t>to</w:t>
                      </w:r>
                      <w:r>
                        <w:rPr>
                          <w:spacing w:val="-2"/>
                        </w:rPr>
                        <w:t xml:space="preserve"> </w:t>
                      </w:r>
                      <w:r>
                        <w:t>the</w:t>
                      </w:r>
                      <w:r>
                        <w:rPr>
                          <w:spacing w:val="-5"/>
                        </w:rPr>
                        <w:t xml:space="preserve"> </w:t>
                      </w:r>
                      <w:r>
                        <w:t>eleventh</w:t>
                      </w:r>
                      <w:r>
                        <w:rPr>
                          <w:spacing w:val="-6"/>
                        </w:rPr>
                        <w:t xml:space="preserve"> </w:t>
                      </w:r>
                      <w:r>
                        <w:t>Meeting</w:t>
                      </w:r>
                      <w:r>
                        <w:rPr>
                          <w:spacing w:val="-4"/>
                        </w:rPr>
                        <w:t xml:space="preserve"> </w:t>
                      </w:r>
                      <w:r>
                        <w:t>of</w:t>
                      </w:r>
                      <w:r>
                        <w:rPr>
                          <w:spacing w:val="-5"/>
                        </w:rPr>
                        <w:t xml:space="preserve"> </w:t>
                      </w:r>
                      <w:r>
                        <w:t>Partners</w:t>
                      </w:r>
                      <w:r>
                        <w:rPr>
                          <w:spacing w:val="-3"/>
                        </w:rPr>
                        <w:t xml:space="preserve"> </w:t>
                      </w:r>
                      <w:r>
                        <w:t xml:space="preserve">(MoP11), and requests the </w:t>
                      </w:r>
                      <w:proofErr w:type="spellStart"/>
                      <w:r>
                        <w:t>MoP</w:t>
                      </w:r>
                      <w:proofErr w:type="spellEnd"/>
                      <w:r>
                        <w:t xml:space="preserve"> to:</w:t>
                      </w:r>
                    </w:p>
                    <w:p w14:paraId="5FBFC1CB" w14:textId="77777777" w:rsidR="008F1FF1" w:rsidRDefault="008F1FF1" w:rsidP="008F1FF1">
                      <w:pPr>
                        <w:pStyle w:val="BodyText"/>
                        <w:numPr>
                          <w:ilvl w:val="0"/>
                          <w:numId w:val="22"/>
                        </w:numPr>
                        <w:tabs>
                          <w:tab w:val="left" w:pos="864"/>
                          <w:tab w:val="left" w:pos="865"/>
                        </w:tabs>
                        <w:spacing w:line="259" w:lineRule="auto"/>
                        <w:ind w:right="1212"/>
                      </w:pPr>
                      <w:r>
                        <w:t>Note</w:t>
                      </w:r>
                      <w:r>
                        <w:rPr>
                          <w:spacing w:val="-5"/>
                        </w:rPr>
                        <w:t xml:space="preserve"> </w:t>
                      </w:r>
                      <w:r>
                        <w:t xml:space="preserve">the development of a Resourcing Plan to support the delivery of the Strategic Plan (approved at </w:t>
                      </w:r>
                      <w:proofErr w:type="spellStart"/>
                      <w:r>
                        <w:t>MoP</w:t>
                      </w:r>
                      <w:proofErr w:type="spellEnd"/>
                      <w:r>
                        <w:t xml:space="preserve"> 10) and endorse the Plan </w:t>
                      </w:r>
                    </w:p>
                    <w:p w14:paraId="5A7A7970" w14:textId="77777777" w:rsidR="008F1FF1" w:rsidRDefault="008F1FF1" w:rsidP="008F1FF1">
                      <w:pPr>
                        <w:pStyle w:val="BodyText"/>
                        <w:numPr>
                          <w:ilvl w:val="0"/>
                          <w:numId w:val="22"/>
                        </w:numPr>
                        <w:tabs>
                          <w:tab w:val="left" w:pos="864"/>
                          <w:tab w:val="left" w:pos="865"/>
                        </w:tabs>
                        <w:spacing w:line="256" w:lineRule="auto"/>
                        <w:ind w:right="285"/>
                      </w:pPr>
                      <w:r>
                        <w:t>Re-endorse</w:t>
                      </w:r>
                      <w:r>
                        <w:rPr>
                          <w:spacing w:val="-3"/>
                        </w:rPr>
                        <w:t xml:space="preserve"> </w:t>
                      </w:r>
                      <w:r>
                        <w:t>the</w:t>
                      </w:r>
                      <w:r>
                        <w:rPr>
                          <w:spacing w:val="-3"/>
                        </w:rPr>
                        <w:t xml:space="preserve"> </w:t>
                      </w:r>
                      <w:r>
                        <w:t>EAAFP</w:t>
                      </w:r>
                      <w:r>
                        <w:rPr>
                          <w:spacing w:val="-3"/>
                        </w:rPr>
                        <w:t xml:space="preserve"> </w:t>
                      </w:r>
                      <w:r>
                        <w:t>Voluntary</w:t>
                      </w:r>
                      <w:r>
                        <w:rPr>
                          <w:spacing w:val="-4"/>
                        </w:rPr>
                        <w:t xml:space="preserve"> </w:t>
                      </w:r>
                      <w:r>
                        <w:t>Fee</w:t>
                      </w:r>
                      <w:r>
                        <w:rPr>
                          <w:spacing w:val="-3"/>
                        </w:rPr>
                        <w:t xml:space="preserve"> </w:t>
                      </w:r>
                      <w:r>
                        <w:t>Contribution</w:t>
                      </w:r>
                      <w:r>
                        <w:rPr>
                          <w:spacing w:val="-7"/>
                        </w:rPr>
                        <w:t xml:space="preserve"> </w:t>
                      </w:r>
                      <w:r>
                        <w:t>system</w:t>
                      </w:r>
                      <w:r>
                        <w:rPr>
                          <w:spacing w:val="-3"/>
                        </w:rPr>
                        <w:t xml:space="preserve"> </w:t>
                      </w:r>
                      <w:r>
                        <w:t>and</w:t>
                      </w:r>
                      <w:r>
                        <w:rPr>
                          <w:spacing w:val="-5"/>
                        </w:rPr>
                        <w:t xml:space="preserve"> </w:t>
                      </w:r>
                      <w:r>
                        <w:t>encourage</w:t>
                      </w:r>
                      <w:r>
                        <w:rPr>
                          <w:spacing w:val="-6"/>
                        </w:rPr>
                        <w:t xml:space="preserve"> </w:t>
                      </w:r>
                      <w:r>
                        <w:t>Partners to make voluntary payments.</w:t>
                      </w:r>
                    </w:p>
                    <w:p w14:paraId="27919EB9" w14:textId="77777777" w:rsidR="008F1FF1" w:rsidRDefault="008F1FF1" w:rsidP="008F1FF1">
                      <w:pPr>
                        <w:pStyle w:val="BodyText"/>
                        <w:numPr>
                          <w:ilvl w:val="0"/>
                          <w:numId w:val="22"/>
                        </w:numPr>
                        <w:tabs>
                          <w:tab w:val="left" w:pos="864"/>
                          <w:tab w:val="left" w:pos="865"/>
                        </w:tabs>
                        <w:spacing w:line="256" w:lineRule="auto"/>
                        <w:ind w:right="285"/>
                      </w:pPr>
                      <w:r>
                        <w:t>Note the terms of use for the Contingency Fund</w:t>
                      </w:r>
                    </w:p>
                    <w:p w14:paraId="1882DB4D" w14:textId="77777777" w:rsidR="008F1FF1" w:rsidRDefault="008F1FF1" w:rsidP="008F1FF1">
                      <w:pPr>
                        <w:pStyle w:val="BodyText"/>
                        <w:spacing w:before="1"/>
                        <w:rPr>
                          <w:sz w:val="24"/>
                        </w:rPr>
                      </w:pPr>
                    </w:p>
                    <w:p w14:paraId="5AD91856" w14:textId="77777777" w:rsidR="008F1FF1" w:rsidRDefault="008F1FF1" w:rsidP="001C3BC1">
                      <w:pPr>
                        <w:pStyle w:val="BodyText"/>
                        <w:tabs>
                          <w:tab w:val="left" w:pos="864"/>
                          <w:tab w:val="left" w:pos="865"/>
                        </w:tabs>
                        <w:spacing w:before="1"/>
                      </w:pPr>
                    </w:p>
                  </w:txbxContent>
                </v:textbox>
                <w10:wrap type="topAndBottom" anchorx="page"/>
              </v:shape>
            </w:pict>
          </mc:Fallback>
        </mc:AlternateContent>
      </w:r>
    </w:p>
    <w:p w14:paraId="7698F6CB" w14:textId="77777777" w:rsidR="008F1FF1" w:rsidRDefault="008F1FF1" w:rsidP="008F1FF1">
      <w:pPr>
        <w:pStyle w:val="BodyText"/>
        <w:rPr>
          <w:i/>
          <w:sz w:val="20"/>
        </w:rPr>
      </w:pPr>
    </w:p>
    <w:p w14:paraId="6540CD51" w14:textId="77777777" w:rsidR="008F1FF1" w:rsidRDefault="008F1FF1" w:rsidP="008F1FF1">
      <w:pPr>
        <w:pStyle w:val="BodyText"/>
        <w:rPr>
          <w:i/>
          <w:sz w:val="28"/>
        </w:rPr>
      </w:pPr>
    </w:p>
    <w:p w14:paraId="7F18DD32" w14:textId="77777777" w:rsidR="008F1FF1" w:rsidRDefault="008F1FF1" w:rsidP="008F1FF1">
      <w:pPr>
        <w:pStyle w:val="Heading1"/>
        <w:numPr>
          <w:ilvl w:val="0"/>
          <w:numId w:val="20"/>
        </w:numPr>
        <w:tabs>
          <w:tab w:val="left" w:pos="444"/>
        </w:tabs>
        <w:spacing w:before="90"/>
        <w:ind w:left="720" w:hanging="360"/>
        <w:jc w:val="left"/>
      </w:pPr>
      <w:bookmarkStart w:id="4" w:name="_bookmark0"/>
      <w:bookmarkEnd w:id="4"/>
      <w:r>
        <w:t>Development of A Resourcing Plan</w:t>
      </w:r>
    </w:p>
    <w:p w14:paraId="77EAC737" w14:textId="77777777" w:rsidR="008F1FF1" w:rsidRDefault="008F1FF1" w:rsidP="008F1FF1">
      <w:pPr>
        <w:pStyle w:val="BodyText"/>
        <w:spacing w:before="5"/>
        <w:rPr>
          <w:b/>
          <w:sz w:val="25"/>
        </w:rPr>
      </w:pPr>
    </w:p>
    <w:p w14:paraId="04E97328" w14:textId="77777777" w:rsidR="008F1FF1" w:rsidRDefault="008F1FF1" w:rsidP="008F1FF1">
      <w:pPr>
        <w:pStyle w:val="BodyText"/>
        <w:spacing w:before="5"/>
        <w:ind w:left="183"/>
        <w:rPr>
          <w:bCs/>
        </w:rPr>
      </w:pPr>
      <w:r w:rsidRPr="0024301C">
        <w:rPr>
          <w:bCs/>
        </w:rPr>
        <w:t xml:space="preserve">At MoP10 it was agreed that </w:t>
      </w:r>
      <w:r>
        <w:rPr>
          <w:bCs/>
        </w:rPr>
        <w:t xml:space="preserve">the Finance Sub-Committee would coordinate the development of a Resourcing Plan to assist in the delivery of the 10 year Strategic Plan.  </w:t>
      </w:r>
    </w:p>
    <w:p w14:paraId="0AF387D9" w14:textId="77777777" w:rsidR="008F1FF1" w:rsidRDefault="008F1FF1" w:rsidP="008F1FF1">
      <w:pPr>
        <w:pStyle w:val="BodyText"/>
        <w:spacing w:before="5"/>
        <w:ind w:left="183"/>
        <w:rPr>
          <w:bCs/>
        </w:rPr>
      </w:pPr>
    </w:p>
    <w:p w14:paraId="3BAF39CB" w14:textId="77777777" w:rsidR="008F1FF1" w:rsidRPr="00B35D9C" w:rsidRDefault="008F1FF1" w:rsidP="008F1FF1">
      <w:pPr>
        <w:ind w:left="183"/>
        <w:rPr>
          <w:rFonts w:cstheme="minorHAnsi"/>
        </w:rPr>
      </w:pPr>
      <w:r w:rsidRPr="00B35D9C">
        <w:rPr>
          <w:rFonts w:cstheme="minorHAnsi"/>
        </w:rPr>
        <w:t>It was agreed that the Finance Sub-Committee, with the support of the Secretariat</w:t>
      </w:r>
      <w:r>
        <w:rPr>
          <w:rFonts w:cstheme="minorHAnsi"/>
        </w:rPr>
        <w:t xml:space="preserve"> and if needed others with relevant expertise</w:t>
      </w:r>
      <w:r w:rsidRPr="00B35D9C">
        <w:rPr>
          <w:rFonts w:cstheme="minorHAnsi"/>
        </w:rPr>
        <w:t xml:space="preserve">, develop the </w:t>
      </w:r>
      <w:r>
        <w:rPr>
          <w:rFonts w:cstheme="minorHAnsi"/>
        </w:rPr>
        <w:t>R</w:t>
      </w:r>
      <w:r w:rsidRPr="00B35D9C">
        <w:rPr>
          <w:rFonts w:cstheme="minorHAnsi"/>
        </w:rPr>
        <w:t>esourcing Plan that establishes the priorities for funding for the first 2 years of the Strategic Plan (2019-2021).</w:t>
      </w:r>
    </w:p>
    <w:p w14:paraId="4C48EFCC" w14:textId="77777777" w:rsidR="008F1FF1" w:rsidRPr="00B35D9C" w:rsidRDefault="008F1FF1" w:rsidP="008F1FF1">
      <w:pPr>
        <w:rPr>
          <w:rFonts w:cstheme="minorHAnsi"/>
          <w:b/>
          <w:i/>
        </w:rPr>
      </w:pPr>
    </w:p>
    <w:p w14:paraId="252430CA" w14:textId="77777777" w:rsidR="008F1FF1" w:rsidRPr="00B35D9C" w:rsidRDefault="008F1FF1" w:rsidP="008F1FF1">
      <w:pPr>
        <w:ind w:firstLine="183"/>
        <w:rPr>
          <w:rFonts w:cstheme="minorHAnsi"/>
        </w:rPr>
      </w:pPr>
      <w:r w:rsidRPr="00B35D9C">
        <w:rPr>
          <w:rFonts w:cstheme="minorHAnsi"/>
        </w:rPr>
        <w:t>The Finance Sub-Committee was tasked to develop</w:t>
      </w:r>
      <w:r>
        <w:rPr>
          <w:rFonts w:cstheme="minorHAnsi"/>
        </w:rPr>
        <w:t xml:space="preserve"> the Plan</w:t>
      </w:r>
      <w:r w:rsidRPr="00B35D9C">
        <w:rPr>
          <w:rFonts w:cstheme="minorHAnsi"/>
        </w:rPr>
        <w:t xml:space="preserve"> by end of 2019</w:t>
      </w:r>
      <w:r>
        <w:rPr>
          <w:rFonts w:cstheme="minorHAnsi"/>
        </w:rPr>
        <w:t>.</w:t>
      </w:r>
    </w:p>
    <w:p w14:paraId="78707A63" w14:textId="77777777" w:rsidR="008F1FF1" w:rsidRDefault="008F1FF1" w:rsidP="008F1FF1">
      <w:pPr>
        <w:ind w:left="183"/>
        <w:rPr>
          <w:rFonts w:cstheme="minorHAnsi"/>
        </w:rPr>
      </w:pPr>
    </w:p>
    <w:p w14:paraId="0E143356" w14:textId="77777777" w:rsidR="008F1FF1" w:rsidRDefault="008F1FF1" w:rsidP="008F1FF1">
      <w:pPr>
        <w:ind w:left="183"/>
        <w:rPr>
          <w:rFonts w:cstheme="minorHAnsi"/>
        </w:rPr>
      </w:pPr>
      <w:r w:rsidRPr="00B35D9C">
        <w:rPr>
          <w:rFonts w:cstheme="minorHAnsi"/>
        </w:rPr>
        <w:t xml:space="preserve">The Finance Sub-Committee proposed that the Resourcing Plan should be a 10-year plan </w:t>
      </w:r>
      <w:r>
        <w:rPr>
          <w:rFonts w:cstheme="minorHAnsi"/>
        </w:rPr>
        <w:t xml:space="preserve">to match to the term of the Strategic Plan, and be </w:t>
      </w:r>
      <w:r w:rsidRPr="00B35D9C">
        <w:rPr>
          <w:rFonts w:cstheme="minorHAnsi"/>
        </w:rPr>
        <w:t xml:space="preserve">divided into 2 year rolling cycles </w:t>
      </w:r>
      <w:r>
        <w:rPr>
          <w:rFonts w:cstheme="minorHAnsi"/>
        </w:rPr>
        <w:t xml:space="preserve">with </w:t>
      </w:r>
      <w:r w:rsidRPr="00B35D9C">
        <w:rPr>
          <w:rFonts w:cstheme="minorHAnsi"/>
        </w:rPr>
        <w:t>Partners and the Secretariat report</w:t>
      </w:r>
      <w:r>
        <w:rPr>
          <w:rFonts w:cstheme="minorHAnsi"/>
        </w:rPr>
        <w:t>ing</w:t>
      </w:r>
      <w:r w:rsidRPr="00B35D9C">
        <w:rPr>
          <w:rFonts w:cstheme="minorHAnsi"/>
        </w:rPr>
        <w:t xml:space="preserve"> to the </w:t>
      </w:r>
      <w:proofErr w:type="spellStart"/>
      <w:r w:rsidRPr="00B35D9C">
        <w:rPr>
          <w:rFonts w:cstheme="minorHAnsi"/>
        </w:rPr>
        <w:t>MoPs</w:t>
      </w:r>
      <w:proofErr w:type="spellEnd"/>
      <w:r w:rsidRPr="00B35D9C">
        <w:rPr>
          <w:rFonts w:cstheme="minorHAnsi"/>
        </w:rPr>
        <w:t xml:space="preserve"> on progress with implementation of the KRAs. As a starting point, the Sub-Committee considered the KRAs in the Strategic Plan and identified the key priorities that would be the focus for the first two rolling year period of the Plan.</w:t>
      </w:r>
    </w:p>
    <w:p w14:paraId="38021806" w14:textId="77777777" w:rsidR="008F1FF1" w:rsidRDefault="008F1FF1" w:rsidP="008F1FF1">
      <w:pPr>
        <w:ind w:left="183"/>
        <w:rPr>
          <w:rFonts w:cstheme="minorHAnsi"/>
        </w:rPr>
      </w:pPr>
    </w:p>
    <w:p w14:paraId="43607758" w14:textId="77777777" w:rsidR="008F1FF1" w:rsidRPr="00B35D9C" w:rsidRDefault="008F1FF1" w:rsidP="008F1FF1">
      <w:pPr>
        <w:ind w:left="183"/>
        <w:rPr>
          <w:rFonts w:cstheme="minorHAnsi"/>
        </w:rPr>
      </w:pPr>
      <w:r>
        <w:rPr>
          <w:rFonts w:cstheme="minorHAnsi"/>
        </w:rPr>
        <w:t>Reflecting on the successful process in developing the Strategic Plan, it was decided to hold a workshop of key people in Singapore in September 2019.  The result is a draft Resourcing Plan based of identified priority KRAs from the Strategy.  A</w:t>
      </w:r>
      <w:r w:rsidRPr="00B35D9C">
        <w:rPr>
          <w:rFonts w:cstheme="minorHAnsi"/>
        </w:rPr>
        <w:t>ll the KRAs</w:t>
      </w:r>
      <w:r>
        <w:rPr>
          <w:rFonts w:cstheme="minorHAnsi"/>
        </w:rPr>
        <w:t xml:space="preserve"> were assessed</w:t>
      </w:r>
      <w:r w:rsidRPr="00B35D9C">
        <w:rPr>
          <w:rFonts w:cstheme="minorHAnsi"/>
        </w:rPr>
        <w:t xml:space="preserve"> against the three driving elements</w:t>
      </w:r>
      <w:r>
        <w:rPr>
          <w:rFonts w:cstheme="minorHAnsi"/>
        </w:rPr>
        <w:t xml:space="preserve"> </w:t>
      </w:r>
      <w:r w:rsidRPr="00B35D9C">
        <w:rPr>
          <w:rFonts w:cstheme="minorHAnsi"/>
        </w:rPr>
        <w:t>to score and assess the KRAs, namely:</w:t>
      </w:r>
    </w:p>
    <w:p w14:paraId="66CF4AA6" w14:textId="77777777" w:rsidR="008F1FF1" w:rsidRPr="00B35D9C" w:rsidRDefault="008F1FF1" w:rsidP="008F1FF1">
      <w:pPr>
        <w:pStyle w:val="ListParagraph"/>
        <w:numPr>
          <w:ilvl w:val="0"/>
          <w:numId w:val="23"/>
        </w:numPr>
        <w:rPr>
          <w:rFonts w:cstheme="minorHAnsi"/>
        </w:rPr>
      </w:pPr>
      <w:r w:rsidRPr="00B35D9C">
        <w:rPr>
          <w:rFonts w:cstheme="minorHAnsi"/>
        </w:rPr>
        <w:lastRenderedPageBreak/>
        <w:t>Enabling</w:t>
      </w:r>
      <w:r w:rsidRPr="00B35D9C">
        <w:rPr>
          <w:rFonts w:cstheme="minorHAnsi"/>
        </w:rPr>
        <w:tab/>
        <w:t>– KRAs that will facilitate and support other KRAs</w:t>
      </w:r>
    </w:p>
    <w:p w14:paraId="396FC0C9" w14:textId="77777777" w:rsidR="008F1FF1" w:rsidRPr="00B35D9C" w:rsidRDefault="008F1FF1" w:rsidP="008F1FF1">
      <w:pPr>
        <w:pStyle w:val="ListParagraph"/>
        <w:numPr>
          <w:ilvl w:val="0"/>
          <w:numId w:val="23"/>
        </w:numPr>
        <w:rPr>
          <w:rFonts w:cstheme="minorHAnsi"/>
        </w:rPr>
      </w:pPr>
      <w:r w:rsidRPr="00B35D9C">
        <w:rPr>
          <w:rFonts w:cstheme="minorHAnsi"/>
        </w:rPr>
        <w:t>Impactive</w:t>
      </w:r>
      <w:r w:rsidRPr="00B35D9C">
        <w:rPr>
          <w:rFonts w:cstheme="minorHAnsi"/>
        </w:rPr>
        <w:tab/>
        <w:t xml:space="preserve">– KRAs that can deliver tangible outcomes </w:t>
      </w:r>
    </w:p>
    <w:p w14:paraId="0F43A9E0" w14:textId="77777777" w:rsidR="008F1FF1" w:rsidRPr="001A252F" w:rsidRDefault="008F1FF1" w:rsidP="008F1FF1">
      <w:pPr>
        <w:pStyle w:val="ListParagraph"/>
        <w:numPr>
          <w:ilvl w:val="0"/>
          <w:numId w:val="23"/>
        </w:numPr>
        <w:rPr>
          <w:rFonts w:cstheme="minorHAnsi"/>
        </w:rPr>
      </w:pPr>
      <w:r w:rsidRPr="00B35D9C">
        <w:rPr>
          <w:rFonts w:cstheme="minorHAnsi"/>
        </w:rPr>
        <w:t>Urgency</w:t>
      </w:r>
      <w:r w:rsidRPr="00B35D9C">
        <w:rPr>
          <w:rFonts w:cstheme="minorHAnsi"/>
        </w:rPr>
        <w:tab/>
        <w:t xml:space="preserve">– KRAs that require urgent action because of the level of threat. </w:t>
      </w:r>
    </w:p>
    <w:p w14:paraId="31D8BB76" w14:textId="77777777" w:rsidR="008F1FF1" w:rsidRPr="00E264D6" w:rsidRDefault="008F1FF1" w:rsidP="008F1FF1">
      <w:pPr>
        <w:contextualSpacing/>
        <w:rPr>
          <w:rFonts w:cstheme="minorHAnsi"/>
        </w:rPr>
      </w:pPr>
    </w:p>
    <w:p w14:paraId="629C6379" w14:textId="77777777" w:rsidR="008F1FF1" w:rsidRDefault="008F1FF1" w:rsidP="008F1FF1">
      <w:pPr>
        <w:ind w:left="360"/>
        <w:rPr>
          <w:rFonts w:eastAsia="DengXian" w:cs="Times New Roman"/>
        </w:rPr>
      </w:pPr>
      <w:r>
        <w:rPr>
          <w:rFonts w:eastAsia="DengXian" w:cs="Times New Roman"/>
        </w:rPr>
        <w:t>The global</w:t>
      </w:r>
      <w:r w:rsidRPr="00291320">
        <w:rPr>
          <w:rFonts w:eastAsia="DengXian" w:cs="Times New Roman"/>
        </w:rPr>
        <w:t xml:space="preserve"> COVID pandemic has had significant impacts on both </w:t>
      </w:r>
      <w:r>
        <w:rPr>
          <w:rFonts w:eastAsia="DengXian" w:cs="Times New Roman"/>
        </w:rPr>
        <w:t xml:space="preserve">the </w:t>
      </w:r>
      <w:r w:rsidRPr="00291320">
        <w:rPr>
          <w:rFonts w:eastAsia="DengXian" w:cs="Times New Roman"/>
        </w:rPr>
        <w:t>Partners</w:t>
      </w:r>
      <w:r>
        <w:rPr>
          <w:rFonts w:eastAsia="DengXian" w:cs="Times New Roman"/>
        </w:rPr>
        <w:t>’</w:t>
      </w:r>
      <w:r w:rsidRPr="00291320">
        <w:rPr>
          <w:rFonts w:eastAsia="DengXian" w:cs="Times New Roman"/>
        </w:rPr>
        <w:t xml:space="preserve"> and Secretariat’s capacities to undertake many of the activities highlighted in the first Resourcing Plan.</w:t>
      </w:r>
      <w:r>
        <w:rPr>
          <w:rFonts w:eastAsia="DengXian" w:cs="Times New Roman"/>
        </w:rPr>
        <w:t xml:space="preserve">  It has been agreed that progress with the Strategic Plan implementation should be reviewed </w:t>
      </w:r>
      <w:proofErr w:type="spellStart"/>
      <w:r>
        <w:rPr>
          <w:rFonts w:eastAsia="DengXian" w:cs="Times New Roman"/>
        </w:rPr>
        <w:t>mid term</w:t>
      </w:r>
      <w:proofErr w:type="spellEnd"/>
      <w:r>
        <w:rPr>
          <w:rFonts w:eastAsia="DengXian" w:cs="Times New Roman"/>
        </w:rPr>
        <w:t xml:space="preserve"> (i.e. 5 years) which given the potential impact of Covid is very timely.  A workshop will be convened in 2023 to review progress and priorities of the Strategic and Resourcing Plans. The draft Resourcing Plan, for the period 2023- 2025, is presented to MoP11 for endorsement.</w:t>
      </w:r>
    </w:p>
    <w:p w14:paraId="24A10F59" w14:textId="77777777" w:rsidR="008F1FF1" w:rsidRDefault="008F1FF1" w:rsidP="008F1FF1">
      <w:pPr>
        <w:ind w:left="360"/>
        <w:rPr>
          <w:rFonts w:eastAsia="DengXian" w:cs="Times New Roman"/>
        </w:rPr>
      </w:pPr>
    </w:p>
    <w:p w14:paraId="51D67C82" w14:textId="77777777" w:rsidR="008F1FF1" w:rsidRDefault="008F1FF1" w:rsidP="008F1FF1">
      <w:pPr>
        <w:pStyle w:val="TOC1"/>
        <w:tabs>
          <w:tab w:val="left" w:pos="820"/>
          <w:tab w:val="left" w:pos="821"/>
          <w:tab w:val="right" w:leader="dot" w:pos="9514"/>
        </w:tabs>
        <w:spacing w:before="123"/>
        <w:ind w:left="443" w:firstLine="0"/>
        <w:rPr>
          <w:b w:val="0"/>
          <w:spacing w:val="-5"/>
        </w:rPr>
      </w:pPr>
      <w:r>
        <w:rPr>
          <w:rFonts w:eastAsia="DengXian" w:cs="Times New Roman"/>
          <w:lang w:eastAsia="zh-CN"/>
        </w:rPr>
        <w:t>2.</w:t>
      </w:r>
      <w:r>
        <w:rPr>
          <w:rFonts w:eastAsia="DengXian" w:cs="Times New Roman"/>
          <w:lang w:eastAsia="zh-CN"/>
        </w:rPr>
        <w:tab/>
      </w:r>
      <w:hyperlink w:anchor="_bookmark4" w:history="1">
        <w:r>
          <w:t>Establishing</w:t>
        </w:r>
        <w:r>
          <w:rPr>
            <w:spacing w:val="-7"/>
          </w:rPr>
          <w:t xml:space="preserve"> </w:t>
        </w:r>
        <w:r>
          <w:t>the</w:t>
        </w:r>
        <w:r>
          <w:rPr>
            <w:spacing w:val="-6"/>
          </w:rPr>
          <w:t xml:space="preserve"> </w:t>
        </w:r>
        <w:r>
          <w:t>EAAFP</w:t>
        </w:r>
        <w:r>
          <w:rPr>
            <w:spacing w:val="-8"/>
          </w:rPr>
          <w:t xml:space="preserve"> </w:t>
        </w:r>
        <w:r>
          <w:t>Contingency</w:t>
        </w:r>
        <w:r>
          <w:rPr>
            <w:spacing w:val="-6"/>
          </w:rPr>
          <w:t xml:space="preserve"> </w:t>
        </w:r>
        <w:r>
          <w:rPr>
            <w:spacing w:val="-4"/>
          </w:rPr>
          <w:t>Fund</w:t>
        </w:r>
      </w:hyperlink>
    </w:p>
    <w:p w14:paraId="2C736364" w14:textId="77777777" w:rsidR="008F1FF1" w:rsidRDefault="008F1FF1" w:rsidP="008F1FF1">
      <w:pPr>
        <w:pStyle w:val="TOC1"/>
        <w:tabs>
          <w:tab w:val="left" w:pos="820"/>
          <w:tab w:val="left" w:pos="821"/>
          <w:tab w:val="right" w:leader="dot" w:pos="9514"/>
        </w:tabs>
        <w:spacing w:before="123"/>
        <w:ind w:left="380" w:firstLine="0"/>
        <w:rPr>
          <w:b w:val="0"/>
          <w:bCs w:val="0"/>
        </w:rPr>
      </w:pPr>
      <w:r>
        <w:rPr>
          <w:b w:val="0"/>
          <w:bCs w:val="0"/>
        </w:rPr>
        <w:t xml:space="preserve">The Finance Sub - Committee discussed the purpose and use for the </w:t>
      </w:r>
      <w:r w:rsidRPr="00624BBA">
        <w:rPr>
          <w:b w:val="0"/>
          <w:bCs w:val="0"/>
        </w:rPr>
        <w:t>Contingency Fund</w:t>
      </w:r>
      <w:r>
        <w:rPr>
          <w:b w:val="0"/>
          <w:bCs w:val="0"/>
        </w:rPr>
        <w:t>.  It was agreed that this</w:t>
      </w:r>
      <w:r w:rsidRPr="00624BBA">
        <w:rPr>
          <w:b w:val="0"/>
          <w:bCs w:val="0"/>
        </w:rPr>
        <w:t xml:space="preserve"> will only cover the Secretariat operations and </w:t>
      </w:r>
      <w:r>
        <w:rPr>
          <w:b w:val="0"/>
          <w:bCs w:val="0"/>
        </w:rPr>
        <w:t>p</w:t>
      </w:r>
      <w:r w:rsidRPr="00624BBA">
        <w:rPr>
          <w:b w:val="0"/>
          <w:bCs w:val="0"/>
        </w:rPr>
        <w:t>ersonnel cost</w:t>
      </w:r>
      <w:r>
        <w:rPr>
          <w:b w:val="0"/>
          <w:bCs w:val="0"/>
        </w:rPr>
        <w:t>s, and should not include Partnership activity costs.</w:t>
      </w:r>
      <w:r w:rsidRPr="00624BBA">
        <w:rPr>
          <w:b w:val="0"/>
          <w:bCs w:val="0"/>
        </w:rPr>
        <w:t xml:space="preserve"> </w:t>
      </w:r>
      <w:r>
        <w:rPr>
          <w:b w:val="0"/>
          <w:bCs w:val="0"/>
        </w:rPr>
        <w:t xml:space="preserve">It was also agreed that the Fund should equal three months of the base Secretariat costs which amounted to around </w:t>
      </w:r>
      <w:r w:rsidRPr="00624BBA">
        <w:rPr>
          <w:b w:val="0"/>
          <w:bCs w:val="0"/>
        </w:rPr>
        <w:t>98,000 USD</w:t>
      </w:r>
      <w:r>
        <w:rPr>
          <w:b w:val="0"/>
          <w:bCs w:val="0"/>
        </w:rPr>
        <w:t>.  The Contingency Fund would be used as an emergency fund to ensure that Secretariat activity can be retained in exceptional circumstances.</w:t>
      </w:r>
    </w:p>
    <w:p w14:paraId="61B8B6D6" w14:textId="77777777" w:rsidR="008F1FF1" w:rsidRDefault="008F1FF1" w:rsidP="008F1FF1">
      <w:pPr>
        <w:pStyle w:val="TOC1"/>
        <w:tabs>
          <w:tab w:val="left" w:pos="820"/>
          <w:tab w:val="left" w:pos="821"/>
          <w:tab w:val="right" w:leader="dot" w:pos="9514"/>
        </w:tabs>
        <w:spacing w:before="123"/>
        <w:ind w:left="380" w:firstLine="0"/>
        <w:rPr>
          <w:b w:val="0"/>
          <w:bCs w:val="0"/>
        </w:rPr>
      </w:pPr>
    </w:p>
    <w:p w14:paraId="064B22D6" w14:textId="77777777" w:rsidR="008F1FF1" w:rsidRPr="00A70870" w:rsidRDefault="008F1FF1" w:rsidP="008F1FF1">
      <w:pPr>
        <w:pStyle w:val="TOC1"/>
        <w:numPr>
          <w:ilvl w:val="0"/>
          <w:numId w:val="24"/>
        </w:numPr>
        <w:tabs>
          <w:tab w:val="left" w:pos="820"/>
          <w:tab w:val="left" w:pos="821"/>
          <w:tab w:val="right" w:leader="dot" w:pos="9514"/>
        </w:tabs>
        <w:rPr>
          <w:bCs w:val="0"/>
        </w:rPr>
      </w:pPr>
      <w:r w:rsidRPr="00155D36">
        <w:rPr>
          <w:bCs w:val="0"/>
        </w:rPr>
        <w:t>Progress with implementation of the Sustainable Funding Strategy</w:t>
      </w:r>
      <w:r>
        <w:rPr>
          <w:bCs w:val="0"/>
        </w:rPr>
        <w:t xml:space="preserve"> </w:t>
      </w:r>
    </w:p>
    <w:p w14:paraId="0B841F39" w14:textId="77777777" w:rsidR="008F1FF1" w:rsidRPr="00C5605B" w:rsidRDefault="008F1FF1" w:rsidP="008F1FF1">
      <w:pPr>
        <w:pStyle w:val="TOC1"/>
        <w:tabs>
          <w:tab w:val="left" w:pos="820"/>
          <w:tab w:val="left" w:pos="821"/>
          <w:tab w:val="right" w:leader="dot" w:pos="9514"/>
        </w:tabs>
        <w:ind w:left="380" w:firstLine="0"/>
        <w:rPr>
          <w:b w:val="0"/>
          <w:bCs w:val="0"/>
        </w:rPr>
      </w:pPr>
      <w:r w:rsidRPr="00C5605B">
        <w:rPr>
          <w:rFonts w:asciiTheme="minorHAnsi" w:hAnsiTheme="minorHAnsi" w:cstheme="minorHAnsi"/>
          <w:b w:val="0"/>
          <w:bCs w:val="0"/>
          <w:color w:val="000000"/>
        </w:rPr>
        <w:t>Adopted at the 9th EAAFP Meeting of Partners (MOP9) in 2018, the EAAFP Sustainable F</w:t>
      </w:r>
      <w:r>
        <w:rPr>
          <w:rFonts w:asciiTheme="minorHAnsi" w:hAnsiTheme="minorHAnsi" w:cstheme="minorHAnsi"/>
          <w:b w:val="0"/>
          <w:bCs w:val="0"/>
          <w:color w:val="000000"/>
        </w:rPr>
        <w:t>unding</w:t>
      </w:r>
      <w:r w:rsidRPr="00C5605B">
        <w:rPr>
          <w:rFonts w:asciiTheme="minorHAnsi" w:hAnsiTheme="minorHAnsi" w:cstheme="minorHAnsi"/>
          <w:b w:val="0"/>
          <w:bCs w:val="0"/>
          <w:color w:val="000000"/>
        </w:rPr>
        <w:t xml:space="preserve"> Strategy proposed a number of recommendations in response to the need to increase and diversify funding for EAAFP operations and activities to achieve its strategic goals.</w:t>
      </w:r>
      <w:r>
        <w:rPr>
          <w:rFonts w:asciiTheme="minorHAnsi" w:hAnsiTheme="minorHAnsi" w:cstheme="minorHAnsi"/>
          <w:b w:val="0"/>
          <w:bCs w:val="0"/>
          <w:color w:val="000000"/>
        </w:rPr>
        <w:t xml:space="preserve">  The Finance Sub-Committee considered three major components.</w:t>
      </w:r>
    </w:p>
    <w:p w14:paraId="66AE7903" w14:textId="77777777" w:rsidR="008F1FF1" w:rsidRPr="00C5605B" w:rsidRDefault="008F1FF1" w:rsidP="008F1FF1">
      <w:pPr>
        <w:pStyle w:val="TOC1"/>
        <w:tabs>
          <w:tab w:val="left" w:pos="820"/>
          <w:tab w:val="left" w:pos="821"/>
          <w:tab w:val="right" w:leader="dot" w:pos="9514"/>
        </w:tabs>
        <w:ind w:left="740" w:firstLine="0"/>
        <w:rPr>
          <w:b w:val="0"/>
          <w:bCs w:val="0"/>
        </w:rPr>
      </w:pPr>
    </w:p>
    <w:p w14:paraId="4E6567D8" w14:textId="77777777" w:rsidR="008F1FF1" w:rsidRPr="00602441" w:rsidRDefault="008F1FF1" w:rsidP="008F1FF1">
      <w:pPr>
        <w:pStyle w:val="TOC1"/>
        <w:tabs>
          <w:tab w:val="left" w:pos="820"/>
          <w:tab w:val="left" w:pos="821"/>
          <w:tab w:val="right" w:leader="dot" w:pos="9514"/>
        </w:tabs>
        <w:ind w:left="740" w:firstLine="0"/>
        <w:rPr>
          <w:bCs w:val="0"/>
        </w:rPr>
      </w:pPr>
      <w:r w:rsidRPr="00602441">
        <w:rPr>
          <w:bCs w:val="0"/>
        </w:rPr>
        <w:t>Voluntary Contribution Scheme</w:t>
      </w:r>
    </w:p>
    <w:p w14:paraId="234D97B2" w14:textId="77777777" w:rsidR="008F1FF1" w:rsidRDefault="008F1FF1" w:rsidP="008F1FF1">
      <w:pPr>
        <w:pStyle w:val="TOC1"/>
        <w:tabs>
          <w:tab w:val="left" w:pos="820"/>
          <w:tab w:val="left" w:pos="821"/>
          <w:tab w:val="right" w:leader="dot" w:pos="9514"/>
        </w:tabs>
        <w:rPr>
          <w:b w:val="0"/>
          <w:bCs w:val="0"/>
        </w:rPr>
      </w:pPr>
      <w:r>
        <w:rPr>
          <w:b w:val="0"/>
        </w:rPr>
        <w:tab/>
        <w:t xml:space="preserve">The Finance sub Committee discussed the Voluntary Contribution Scheme.  It was </w:t>
      </w:r>
      <w:proofErr w:type="spellStart"/>
      <w:r>
        <w:rPr>
          <w:b w:val="0"/>
        </w:rPr>
        <w:t>recognised</w:t>
      </w:r>
      <w:proofErr w:type="spellEnd"/>
      <w:r>
        <w:rPr>
          <w:b w:val="0"/>
        </w:rPr>
        <w:t xml:space="preserve"> that the Covid Pandemic was inevitably having  a marked impact on INGO budgets but it was extremely important that all partners should be contributing as much as possible to the work of the Partnership.  It was noted that individual partner financial and budgeting periods differed, and it was agreed that </w:t>
      </w:r>
      <w:r>
        <w:rPr>
          <w:b w:val="0"/>
          <w:bCs w:val="0"/>
        </w:rPr>
        <w:t>t</w:t>
      </w:r>
      <w:r w:rsidRPr="00602441">
        <w:rPr>
          <w:b w:val="0"/>
          <w:bCs w:val="0"/>
        </w:rPr>
        <w:t xml:space="preserve">he Secretariat will modify the voluntary contribution letter according to the objectives </w:t>
      </w:r>
      <w:r>
        <w:rPr>
          <w:b w:val="0"/>
          <w:bCs w:val="0"/>
        </w:rPr>
        <w:t xml:space="preserve">and timings </w:t>
      </w:r>
      <w:r w:rsidRPr="00602441">
        <w:rPr>
          <w:b w:val="0"/>
          <w:bCs w:val="0"/>
        </w:rPr>
        <w:t xml:space="preserve">of each Partner </w:t>
      </w:r>
      <w:r>
        <w:rPr>
          <w:b w:val="0"/>
          <w:bCs w:val="0"/>
        </w:rPr>
        <w:t xml:space="preserve">with the requests </w:t>
      </w:r>
      <w:r w:rsidRPr="00602441">
        <w:rPr>
          <w:b w:val="0"/>
          <w:bCs w:val="0"/>
        </w:rPr>
        <w:t>be</w:t>
      </w:r>
      <w:r>
        <w:rPr>
          <w:b w:val="0"/>
          <w:bCs w:val="0"/>
        </w:rPr>
        <w:t>ing</w:t>
      </w:r>
      <w:r w:rsidRPr="00602441">
        <w:rPr>
          <w:b w:val="0"/>
          <w:bCs w:val="0"/>
        </w:rPr>
        <w:t xml:space="preserve"> sent when the </w:t>
      </w:r>
      <w:r>
        <w:rPr>
          <w:b w:val="0"/>
          <w:bCs w:val="0"/>
        </w:rPr>
        <w:t xml:space="preserve">individual </w:t>
      </w:r>
      <w:r w:rsidRPr="00602441">
        <w:rPr>
          <w:b w:val="0"/>
          <w:bCs w:val="0"/>
        </w:rPr>
        <w:t>Partners are working on the</w:t>
      </w:r>
      <w:r>
        <w:rPr>
          <w:b w:val="0"/>
          <w:bCs w:val="0"/>
        </w:rPr>
        <w:t>ir</w:t>
      </w:r>
      <w:r w:rsidRPr="00602441">
        <w:rPr>
          <w:b w:val="0"/>
          <w:bCs w:val="0"/>
        </w:rPr>
        <w:t xml:space="preserve"> budget for the </w:t>
      </w:r>
      <w:r>
        <w:rPr>
          <w:b w:val="0"/>
          <w:bCs w:val="0"/>
        </w:rPr>
        <w:t>following</w:t>
      </w:r>
      <w:r w:rsidRPr="00602441">
        <w:rPr>
          <w:b w:val="0"/>
          <w:bCs w:val="0"/>
        </w:rPr>
        <w:t xml:space="preserve"> year.</w:t>
      </w:r>
    </w:p>
    <w:p w14:paraId="72C1536A" w14:textId="77777777" w:rsidR="008F1FF1" w:rsidRDefault="008F1FF1" w:rsidP="008F1FF1">
      <w:pPr>
        <w:pStyle w:val="TOC1"/>
        <w:tabs>
          <w:tab w:val="left" w:pos="820"/>
          <w:tab w:val="left" w:pos="821"/>
          <w:tab w:val="right" w:leader="dot" w:pos="9514"/>
        </w:tabs>
        <w:rPr>
          <w:b w:val="0"/>
          <w:bCs w:val="0"/>
        </w:rPr>
      </w:pPr>
    </w:p>
    <w:p w14:paraId="7DA9FBD8" w14:textId="77777777" w:rsidR="008F1FF1" w:rsidRPr="000511D9" w:rsidRDefault="008F1FF1" w:rsidP="008F1FF1">
      <w:pPr>
        <w:pStyle w:val="TOC1"/>
        <w:tabs>
          <w:tab w:val="left" w:pos="820"/>
          <w:tab w:val="left" w:pos="821"/>
          <w:tab w:val="right" w:leader="dot" w:pos="9514"/>
        </w:tabs>
      </w:pPr>
      <w:r>
        <w:rPr>
          <w:b w:val="0"/>
          <w:bCs w:val="0"/>
        </w:rPr>
        <w:tab/>
      </w:r>
      <w:r>
        <w:t>Establishment of an EAAFP Foundation</w:t>
      </w:r>
    </w:p>
    <w:p w14:paraId="7D2F94DC" w14:textId="77777777" w:rsidR="008F1FF1" w:rsidRDefault="008F1FF1" w:rsidP="008F1FF1">
      <w:pPr>
        <w:pStyle w:val="TOC1"/>
        <w:tabs>
          <w:tab w:val="left" w:pos="820"/>
          <w:tab w:val="left" w:pos="821"/>
          <w:tab w:val="right" w:leader="dot" w:pos="9514"/>
        </w:tabs>
        <w:spacing w:before="123"/>
        <w:ind w:left="380" w:firstLine="0"/>
        <w:rPr>
          <w:b w:val="0"/>
          <w:bCs w:val="0"/>
        </w:rPr>
      </w:pPr>
    </w:p>
    <w:p w14:paraId="256EC4D1" w14:textId="77777777" w:rsidR="008F1FF1" w:rsidRPr="000511D9" w:rsidRDefault="008F1FF1" w:rsidP="008F1FF1">
      <w:pPr>
        <w:spacing w:line="252" w:lineRule="auto"/>
        <w:ind w:left="720"/>
        <w:rPr>
          <w:rFonts w:eastAsiaTheme="minorHAnsi" w:cstheme="minorHAnsi"/>
          <w:color w:val="000000"/>
        </w:rPr>
      </w:pPr>
      <w:r w:rsidRPr="000511D9">
        <w:rPr>
          <w:rFonts w:cstheme="minorHAnsi"/>
          <w:color w:val="000000"/>
        </w:rPr>
        <w:t xml:space="preserve">One of the recommendations </w:t>
      </w:r>
      <w:r>
        <w:rPr>
          <w:rFonts w:cstheme="minorHAnsi"/>
          <w:color w:val="000000"/>
        </w:rPr>
        <w:t xml:space="preserve">of the Sustainable Funding Strategy </w:t>
      </w:r>
      <w:r w:rsidRPr="000511D9">
        <w:rPr>
          <w:rFonts w:cstheme="minorHAnsi"/>
          <w:color w:val="000000"/>
        </w:rPr>
        <w:t>was to strengthen Partners’ efforts to identify funding, provide direct contributions and help raise funds for priority actions and EAAFP suppor</w:t>
      </w:r>
      <w:r>
        <w:rPr>
          <w:rFonts w:cstheme="minorHAnsi"/>
          <w:color w:val="000000"/>
        </w:rPr>
        <w:t xml:space="preserve">t. </w:t>
      </w:r>
      <w:r w:rsidRPr="000511D9">
        <w:rPr>
          <w:rFonts w:cstheme="minorHAnsi"/>
          <w:color w:val="000000"/>
        </w:rPr>
        <w:t>As the budget of the Secretariat is heavily relying on the contributions from the Incheon Metropolitan City</w:t>
      </w:r>
      <w:r>
        <w:rPr>
          <w:rFonts w:cstheme="minorHAnsi"/>
          <w:color w:val="000000"/>
        </w:rPr>
        <w:t>, Ministry of the Environment Korea, US and Japan,</w:t>
      </w:r>
      <w:r w:rsidRPr="000511D9">
        <w:rPr>
          <w:rFonts w:cstheme="minorHAnsi"/>
          <w:color w:val="000000"/>
        </w:rPr>
        <w:t xml:space="preserve"> and the </w:t>
      </w:r>
      <w:r w:rsidRPr="000511D9">
        <w:rPr>
          <w:rFonts w:cstheme="minorHAnsi"/>
          <w:color w:val="000000"/>
        </w:rPr>
        <w:lastRenderedPageBreak/>
        <w:t>limited voluntary contributions from the Partners, in efforts to mobilize resources outside the Partnership, the EAAFP Finance Sub-Committee during their resourcing plan workshop in September 2019 noted the potential value of establishing a Foundation in the Republic of Korea as a channel of domestic fundraising and assisting to promote the work of the Partnership in the host country. </w:t>
      </w:r>
    </w:p>
    <w:p w14:paraId="25815A5F" w14:textId="77777777" w:rsidR="008F1FF1" w:rsidRPr="000511D9" w:rsidRDefault="008F1FF1" w:rsidP="008F1FF1">
      <w:pPr>
        <w:ind w:right="480"/>
        <w:rPr>
          <w:rFonts w:cstheme="minorHAnsi"/>
          <w:color w:val="000000"/>
        </w:rPr>
      </w:pPr>
      <w:r w:rsidRPr="000511D9">
        <w:rPr>
          <w:rFonts w:cstheme="minorHAnsi"/>
          <w:color w:val="000000"/>
          <w:lang w:val="en"/>
        </w:rPr>
        <w:t> </w:t>
      </w:r>
    </w:p>
    <w:p w14:paraId="6E74BD2F" w14:textId="77777777" w:rsidR="008F1FF1" w:rsidRPr="000511D9" w:rsidRDefault="008F1FF1" w:rsidP="008F1FF1">
      <w:pPr>
        <w:spacing w:line="252" w:lineRule="auto"/>
        <w:ind w:left="720"/>
        <w:rPr>
          <w:rFonts w:cstheme="minorHAnsi"/>
          <w:color w:val="000000"/>
        </w:rPr>
      </w:pPr>
      <w:r w:rsidRPr="000511D9">
        <w:rPr>
          <w:rFonts w:cstheme="minorHAnsi"/>
          <w:color w:val="000000"/>
        </w:rPr>
        <w:t>Since the legal status of the EAAFP Secretariat does not allow the provision of tax</w:t>
      </w:r>
      <w:r>
        <w:rPr>
          <w:rFonts w:cstheme="minorHAnsi"/>
          <w:color w:val="000000"/>
        </w:rPr>
        <w:t>-</w:t>
      </w:r>
      <w:r w:rsidRPr="000511D9">
        <w:rPr>
          <w:rFonts w:cstheme="minorHAnsi"/>
          <w:color w:val="000000"/>
        </w:rPr>
        <w:t>deduct</w:t>
      </w:r>
      <w:r>
        <w:rPr>
          <w:rFonts w:cstheme="minorHAnsi"/>
          <w:color w:val="000000"/>
        </w:rPr>
        <w:t>i</w:t>
      </w:r>
      <w:r w:rsidRPr="000511D9">
        <w:rPr>
          <w:rFonts w:cstheme="minorHAnsi"/>
          <w:color w:val="000000"/>
        </w:rPr>
        <w:t>ble receipts to corporate donors, the establishment of a Foundation was raised with, and endorsed by, Incheon Metropolitan City. </w:t>
      </w:r>
    </w:p>
    <w:p w14:paraId="0F8AA9A4" w14:textId="77777777" w:rsidR="008F1FF1" w:rsidRPr="000511D9" w:rsidRDefault="008F1FF1" w:rsidP="008F1FF1">
      <w:pPr>
        <w:ind w:right="480"/>
        <w:rPr>
          <w:rFonts w:cstheme="minorHAnsi"/>
          <w:color w:val="000000"/>
        </w:rPr>
      </w:pPr>
      <w:r w:rsidRPr="000511D9">
        <w:rPr>
          <w:rFonts w:cstheme="minorHAnsi"/>
          <w:color w:val="000000"/>
          <w:lang w:val="en"/>
        </w:rPr>
        <w:t> </w:t>
      </w:r>
    </w:p>
    <w:p w14:paraId="559AABE7" w14:textId="77777777" w:rsidR="008F1FF1" w:rsidRPr="000511D9" w:rsidRDefault="008F1FF1" w:rsidP="008F1FF1">
      <w:pPr>
        <w:spacing w:line="252" w:lineRule="auto"/>
        <w:ind w:left="720"/>
        <w:rPr>
          <w:rFonts w:cstheme="minorHAnsi"/>
          <w:color w:val="000000"/>
        </w:rPr>
      </w:pPr>
      <w:r w:rsidRPr="000511D9">
        <w:rPr>
          <w:rFonts w:cstheme="minorHAnsi"/>
          <w:color w:val="000000"/>
        </w:rPr>
        <w:t xml:space="preserve">The Secretariat consulted both Incheon Metropolitan City and Ministry of Environment Korea about the legal issues for the establishment of a Foundation linked to the EAAFP Secretariat, and both governments showed strong support. As part of the consultation process, the Secretariat reviewed relevant laws and practices of NPO management in Korea, which is prepared in the document: </w:t>
      </w:r>
      <w:r w:rsidRPr="000511D9">
        <w:rPr>
          <w:rFonts w:cstheme="minorHAnsi"/>
          <w:i/>
          <w:iCs/>
          <w:color w:val="000000"/>
        </w:rPr>
        <w:t>The Analysis on the Establishment and Management of the EAAFP Foundation</w:t>
      </w:r>
      <w:r w:rsidRPr="000511D9">
        <w:rPr>
          <w:rFonts w:cstheme="minorHAnsi"/>
          <w:color w:val="000000"/>
        </w:rPr>
        <w:t>. The document was reviewed by the Finance Sub-Committee and the Management Committee</w:t>
      </w:r>
      <w:r>
        <w:rPr>
          <w:rFonts w:cstheme="minorHAnsi"/>
          <w:color w:val="000000"/>
        </w:rPr>
        <w:t xml:space="preserve"> and the Foundation was established.</w:t>
      </w:r>
      <w:r w:rsidRPr="000511D9">
        <w:rPr>
          <w:rFonts w:cstheme="minorHAnsi"/>
          <w:color w:val="000000"/>
        </w:rPr>
        <w:t xml:space="preserve"> </w:t>
      </w:r>
    </w:p>
    <w:p w14:paraId="29C1A705" w14:textId="77777777" w:rsidR="008F1FF1" w:rsidRDefault="008F1FF1" w:rsidP="008F1FF1">
      <w:pPr>
        <w:spacing w:line="252" w:lineRule="auto"/>
        <w:ind w:left="720"/>
        <w:rPr>
          <w:rFonts w:cstheme="minorHAnsi"/>
          <w:color w:val="000000"/>
        </w:rPr>
      </w:pPr>
      <w:r>
        <w:rPr>
          <w:rFonts w:cstheme="minorHAnsi"/>
          <w:color w:val="000000"/>
        </w:rPr>
        <w:t>T</w:t>
      </w:r>
      <w:r w:rsidRPr="000511D9">
        <w:rPr>
          <w:rFonts w:cstheme="minorHAnsi"/>
          <w:color w:val="000000"/>
        </w:rPr>
        <w:t>he Chief Executive of the EAAFP Secretariat, Mr. Doug Watkins, is the Chair of the EAAFP Foundation, t</w:t>
      </w:r>
      <w:r>
        <w:rPr>
          <w:rFonts w:cstheme="minorHAnsi"/>
          <w:color w:val="000000"/>
        </w:rPr>
        <w:t xml:space="preserve">o </w:t>
      </w:r>
      <w:r w:rsidRPr="000511D9">
        <w:rPr>
          <w:rFonts w:cstheme="minorHAnsi"/>
          <w:color w:val="000000"/>
        </w:rPr>
        <w:t>ensure full accountability for the financial management of the EAAFP Foundation to the Partnership</w:t>
      </w:r>
      <w:r>
        <w:rPr>
          <w:rFonts w:cstheme="minorHAnsi"/>
          <w:color w:val="000000"/>
        </w:rPr>
        <w:t>, through the Finance Sub-Committee and Management Committee.</w:t>
      </w:r>
      <w:r w:rsidRPr="000511D9">
        <w:rPr>
          <w:rFonts w:cstheme="minorHAnsi"/>
          <w:color w:val="000000"/>
        </w:rPr>
        <w:t xml:space="preserve">  </w:t>
      </w:r>
    </w:p>
    <w:p w14:paraId="05312617" w14:textId="77777777" w:rsidR="008F1FF1" w:rsidRDefault="008F1FF1" w:rsidP="008F1FF1">
      <w:pPr>
        <w:spacing w:line="252" w:lineRule="auto"/>
        <w:ind w:left="720"/>
        <w:rPr>
          <w:rFonts w:cstheme="minorHAnsi"/>
          <w:color w:val="000000"/>
        </w:rPr>
      </w:pPr>
    </w:p>
    <w:p w14:paraId="498EE778" w14:textId="5D7AFDF2" w:rsidR="008F1FF1" w:rsidRPr="00E108EC" w:rsidRDefault="00E108EC" w:rsidP="00E108EC">
      <w:pPr>
        <w:rPr>
          <w:b/>
          <w:bCs/>
        </w:rPr>
      </w:pPr>
      <w:r>
        <w:rPr>
          <w:b/>
          <w:bCs/>
        </w:rPr>
        <w:t xml:space="preserve">               </w:t>
      </w:r>
      <w:r w:rsidR="008F1FF1" w:rsidRPr="00E108EC">
        <w:rPr>
          <w:b/>
          <w:bCs/>
        </w:rPr>
        <w:t>Board members</w:t>
      </w:r>
    </w:p>
    <w:p w14:paraId="0A52B965" w14:textId="77777777" w:rsidR="008F1FF1" w:rsidRDefault="008F1FF1" w:rsidP="008F1FF1">
      <w:pPr>
        <w:pStyle w:val="ListParagraph"/>
        <w:ind w:left="1080"/>
        <w:rPr>
          <w:b/>
          <w:bCs/>
        </w:rPr>
      </w:pPr>
    </w:p>
    <w:p w14:paraId="229F0028" w14:textId="77777777" w:rsidR="008F1FF1" w:rsidRPr="005374B1" w:rsidRDefault="008F1FF1" w:rsidP="008F1FF1">
      <w:pPr>
        <w:pStyle w:val="ListParagraph"/>
        <w:ind w:left="1080"/>
        <w:rPr>
          <w:rFonts w:ascii="Times New Roman" w:hAnsi="Times New Roman" w:cs="Times New Roman"/>
        </w:rPr>
      </w:pPr>
      <w:proofErr w:type="spellStart"/>
      <w:r w:rsidRPr="005374B1">
        <w:t>Mr</w:t>
      </w:r>
      <w:proofErr w:type="spellEnd"/>
      <w:r w:rsidRPr="005374B1">
        <w:t xml:space="preserve"> Doug Watkins</w:t>
      </w:r>
      <w:r>
        <w:t>, CEO EAAFP</w:t>
      </w:r>
      <w:r>
        <w:tab/>
        <w:t xml:space="preserve">Chair </w:t>
      </w:r>
    </w:p>
    <w:p w14:paraId="48D5B54E" w14:textId="77777777" w:rsidR="008F1FF1" w:rsidRDefault="008F1FF1" w:rsidP="008F1FF1">
      <w:pPr>
        <w:pStyle w:val="ListParagraph"/>
        <w:ind w:left="1080"/>
      </w:pPr>
      <w:r>
        <w:t>Vivian Fu, Senior Communications Officer/ EAAFP Secretariat</w:t>
      </w:r>
    </w:p>
    <w:p w14:paraId="499942B5" w14:textId="77777777" w:rsidR="008F1FF1" w:rsidRDefault="008F1FF1" w:rsidP="008F1FF1">
      <w:pPr>
        <w:pStyle w:val="ListParagraph"/>
        <w:ind w:left="1080"/>
      </w:pPr>
      <w:r>
        <w:t>Jisun Lee, EAAFP Foundation Coordinator/ EAAFP Foundation</w:t>
      </w:r>
    </w:p>
    <w:p w14:paraId="17A0FDA3" w14:textId="77777777" w:rsidR="008F1FF1" w:rsidRDefault="008F1FF1" w:rsidP="008F1FF1">
      <w:pPr>
        <w:ind w:firstLine="719"/>
        <w:rPr>
          <w:b/>
          <w:bCs/>
        </w:rPr>
      </w:pPr>
    </w:p>
    <w:p w14:paraId="162F0E90" w14:textId="77777777" w:rsidR="008F1FF1" w:rsidRPr="005374B1" w:rsidRDefault="008F1FF1" w:rsidP="008F1FF1">
      <w:pPr>
        <w:ind w:firstLine="719"/>
        <w:rPr>
          <w:b/>
          <w:bCs/>
        </w:rPr>
      </w:pPr>
      <w:r w:rsidRPr="005374B1">
        <w:rPr>
          <w:b/>
          <w:bCs/>
        </w:rPr>
        <w:t>Auditor</w:t>
      </w:r>
    </w:p>
    <w:p w14:paraId="264E7491" w14:textId="77777777" w:rsidR="008F1FF1" w:rsidRDefault="008F1FF1" w:rsidP="008F1FF1">
      <w:pPr>
        <w:pStyle w:val="ListParagraph"/>
        <w:ind w:left="1080"/>
      </w:pPr>
      <w:r>
        <w:t>Hyojung Yoo, Administration and Finance Officer/ EAAFP Secretariat</w:t>
      </w:r>
    </w:p>
    <w:p w14:paraId="2ADAB8BE" w14:textId="77777777" w:rsidR="008F1FF1" w:rsidRDefault="008F1FF1" w:rsidP="008F1FF1">
      <w:pPr>
        <w:rPr>
          <w:b/>
          <w:bCs/>
        </w:rPr>
      </w:pPr>
    </w:p>
    <w:p w14:paraId="23EE113D" w14:textId="77777777" w:rsidR="008F1FF1" w:rsidRDefault="008F1FF1" w:rsidP="008F1FF1">
      <w:pPr>
        <w:ind w:firstLine="719"/>
        <w:contextualSpacing/>
        <w:rPr>
          <w:b/>
          <w:bCs/>
        </w:rPr>
      </w:pPr>
      <w:r w:rsidRPr="005374B1">
        <w:rPr>
          <w:b/>
          <w:bCs/>
        </w:rPr>
        <w:t>Co-</w:t>
      </w:r>
      <w:proofErr w:type="spellStart"/>
      <w:r w:rsidRPr="005374B1">
        <w:rPr>
          <w:b/>
          <w:bCs/>
        </w:rPr>
        <w:t>funders</w:t>
      </w:r>
      <w:proofErr w:type="spellEnd"/>
      <w:r w:rsidRPr="005374B1">
        <w:rPr>
          <w:b/>
          <w:bCs/>
        </w:rPr>
        <w:t xml:space="preserve"> as of 2023</w:t>
      </w:r>
    </w:p>
    <w:p w14:paraId="7F181E2F" w14:textId="77777777" w:rsidR="008F1FF1" w:rsidRPr="005374B1" w:rsidRDefault="008F1FF1" w:rsidP="008F1FF1">
      <w:pPr>
        <w:ind w:firstLine="719"/>
        <w:contextualSpacing/>
        <w:rPr>
          <w:b/>
          <w:bCs/>
        </w:rPr>
      </w:pPr>
    </w:p>
    <w:p w14:paraId="5B4AE6C9" w14:textId="77777777" w:rsidR="008F1FF1" w:rsidRDefault="008F1FF1" w:rsidP="008F1FF1">
      <w:pPr>
        <w:pStyle w:val="ListParagraph"/>
        <w:ind w:left="1080"/>
      </w:pPr>
      <w:r>
        <w:t>Korea South-East Power Co.</w:t>
      </w:r>
    </w:p>
    <w:p w14:paraId="638494A5" w14:textId="77777777" w:rsidR="008F1FF1" w:rsidRDefault="008F1FF1" w:rsidP="008F1FF1">
      <w:pPr>
        <w:pStyle w:val="ListParagraph"/>
        <w:ind w:left="1080"/>
      </w:pPr>
      <w:r>
        <w:t>Hyundai Motor Company</w:t>
      </w:r>
    </w:p>
    <w:p w14:paraId="70475FCC" w14:textId="77777777" w:rsidR="008F1FF1" w:rsidRDefault="008F1FF1" w:rsidP="008F1FF1">
      <w:pPr>
        <w:pStyle w:val="ListParagraph"/>
        <w:ind w:left="1080"/>
      </w:pPr>
      <w:r>
        <w:t>S-Oil Corporation</w:t>
      </w:r>
    </w:p>
    <w:p w14:paraId="7D32F77D" w14:textId="77777777" w:rsidR="008F1FF1" w:rsidRDefault="008F1FF1" w:rsidP="008F1FF1">
      <w:pPr>
        <w:pStyle w:val="ListParagraph"/>
        <w:ind w:left="1080"/>
      </w:pPr>
      <w:proofErr w:type="spellStart"/>
      <w:r>
        <w:t>Kyungdong</w:t>
      </w:r>
      <w:proofErr w:type="spellEnd"/>
      <w:r>
        <w:t xml:space="preserve"> City gas co., Ltd.</w:t>
      </w:r>
    </w:p>
    <w:p w14:paraId="274D6348" w14:textId="77777777" w:rsidR="008F1FF1" w:rsidRDefault="008F1FF1" w:rsidP="008F1FF1">
      <w:pPr>
        <w:pStyle w:val="ListParagraph"/>
        <w:ind w:left="1080"/>
      </w:pPr>
      <w:r>
        <w:t xml:space="preserve">Korea </w:t>
      </w:r>
      <w:proofErr w:type="spellStart"/>
      <w:r>
        <w:t>petro</w:t>
      </w:r>
      <w:proofErr w:type="spellEnd"/>
      <w:r>
        <w:t xml:space="preserve"> chemical Ind. Co., Ltd.</w:t>
      </w:r>
    </w:p>
    <w:p w14:paraId="5EE69825" w14:textId="77777777" w:rsidR="008F1FF1" w:rsidRDefault="008F1FF1" w:rsidP="008F1FF1">
      <w:pPr>
        <w:pStyle w:val="ListParagraph"/>
        <w:ind w:left="1080"/>
      </w:pPr>
      <w:r>
        <w:lastRenderedPageBreak/>
        <w:t>Domestic Individual donations from fundraising efforts</w:t>
      </w:r>
    </w:p>
    <w:p w14:paraId="4F67BF39" w14:textId="77777777" w:rsidR="008F1FF1" w:rsidRDefault="008F1FF1" w:rsidP="008F1FF1">
      <w:pPr>
        <w:pStyle w:val="ListParagraph"/>
        <w:ind w:left="1080"/>
      </w:pPr>
    </w:p>
    <w:p w14:paraId="5A1FCA3E" w14:textId="77777777" w:rsidR="008F1FF1" w:rsidRPr="00777643" w:rsidRDefault="008F1FF1" w:rsidP="008F1FF1">
      <w:pPr>
        <w:rPr>
          <w:rFonts w:ascii="Times New Roman" w:hAnsi="Times New Roman" w:cs="Times New Roman"/>
          <w:lang w:val="en-GB"/>
        </w:rPr>
      </w:pPr>
      <w:r>
        <w:rPr>
          <w:lang w:val="en-GB"/>
        </w:rPr>
        <w:t>The EAAFP Foundation has focused on public awareness activities collaboratively with the external organizations to brand the foundation, to increase the number of donors and impact of the foundation in support of the Secretariat’s activities on conservation of migratory waterbirds and their habitats in EAAF.  The number of recurrent donors and the amount of the donations has been increasing with EAAFP Corporate champion programme, fundraising events, campaigns, ecological art activities and others cooperated with other local organizations. The total raised is currently 70,000 USD.</w:t>
      </w:r>
    </w:p>
    <w:p w14:paraId="109E92E1" w14:textId="77777777" w:rsidR="008F1FF1" w:rsidRDefault="008F1FF1" w:rsidP="008F1FF1">
      <w:pPr>
        <w:rPr>
          <w:lang w:val="en-GB"/>
        </w:rPr>
      </w:pPr>
    </w:p>
    <w:p w14:paraId="2E7579DC" w14:textId="77777777" w:rsidR="008F1FF1" w:rsidRDefault="008F1FF1" w:rsidP="008F1FF1">
      <w:pPr>
        <w:rPr>
          <w:lang w:val="en-GB"/>
        </w:rPr>
      </w:pPr>
      <w:r>
        <w:rPr>
          <w:b/>
          <w:noProof/>
          <w:color w:val="FF0000"/>
        </w:rPr>
        <w:drawing>
          <wp:inline distT="0" distB="0" distL="0" distR="0" wp14:anchorId="4787FF27" wp14:editId="475466FD">
            <wp:extent cx="5499100" cy="3213100"/>
            <wp:effectExtent l="0" t="0" r="6350" b="63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D0C8A2" w14:textId="77777777" w:rsidR="008F1FF1" w:rsidRDefault="008F1FF1" w:rsidP="008F1FF1">
      <w:pPr>
        <w:rPr>
          <w:lang w:val="en-GB"/>
        </w:rPr>
      </w:pPr>
    </w:p>
    <w:p w14:paraId="43ADD547" w14:textId="77777777" w:rsidR="008F1FF1" w:rsidRDefault="008F1FF1" w:rsidP="008F1FF1">
      <w:pPr>
        <w:rPr>
          <w:lang w:val="en-GB"/>
        </w:rPr>
      </w:pPr>
    </w:p>
    <w:p w14:paraId="7EDBEA51" w14:textId="77777777" w:rsidR="008F1FF1" w:rsidRDefault="008F1FF1" w:rsidP="008F1FF1">
      <w:pPr>
        <w:pStyle w:val="ListParagraph"/>
        <w:ind w:left="1080"/>
      </w:pPr>
    </w:p>
    <w:p w14:paraId="55B92A59" w14:textId="77777777" w:rsidR="008F1FF1" w:rsidRDefault="008F1FF1" w:rsidP="008F1FF1">
      <w:pPr>
        <w:spacing w:line="252" w:lineRule="auto"/>
        <w:ind w:left="720"/>
        <w:rPr>
          <w:rFonts w:cstheme="minorHAnsi"/>
          <w:color w:val="000000"/>
        </w:rPr>
      </w:pPr>
    </w:p>
    <w:p w14:paraId="3B9A7B2A" w14:textId="77777777" w:rsidR="008F1FF1" w:rsidRDefault="008F1FF1" w:rsidP="008F1FF1">
      <w:pPr>
        <w:spacing w:line="252" w:lineRule="auto"/>
        <w:ind w:left="720"/>
        <w:rPr>
          <w:rFonts w:cstheme="minorHAnsi"/>
          <w:color w:val="000000"/>
        </w:rPr>
      </w:pPr>
    </w:p>
    <w:p w14:paraId="3073C423" w14:textId="77777777" w:rsidR="008F1FF1" w:rsidRDefault="008F1FF1" w:rsidP="008F1FF1">
      <w:pPr>
        <w:spacing w:line="252" w:lineRule="auto"/>
        <w:ind w:left="720"/>
        <w:rPr>
          <w:rFonts w:cstheme="minorHAnsi"/>
          <w:b/>
          <w:bCs/>
          <w:color w:val="000000"/>
        </w:rPr>
      </w:pPr>
      <w:r>
        <w:rPr>
          <w:rFonts w:cstheme="minorHAnsi"/>
          <w:b/>
          <w:bCs/>
          <w:color w:val="000000"/>
        </w:rPr>
        <w:t>Corporate engagement</w:t>
      </w:r>
    </w:p>
    <w:p w14:paraId="6438504C" w14:textId="77777777" w:rsidR="008F1FF1" w:rsidRDefault="008F1FF1" w:rsidP="008F1FF1">
      <w:pPr>
        <w:spacing w:line="252" w:lineRule="auto"/>
        <w:ind w:left="720"/>
        <w:rPr>
          <w:rFonts w:cstheme="minorHAnsi"/>
          <w:b/>
          <w:bCs/>
          <w:color w:val="000000"/>
        </w:rPr>
      </w:pPr>
    </w:p>
    <w:p w14:paraId="5F6D6ECA" w14:textId="77777777" w:rsidR="008F1FF1" w:rsidRDefault="008F1FF1" w:rsidP="008F1FF1">
      <w:pPr>
        <w:ind w:left="720"/>
      </w:pPr>
      <w:r>
        <w:t>The Finance Sub Committee meeting in Singapore in 2019 noted the need for developing principles of engaging the corporate sector. The Secretariat collected 13 corporate engagement policies from 12 international Non-Profit Organizations to aid the identification of the key principles and risk factors. The resulting guidelines were approved by the Sub Committee and the Management Committee.</w:t>
      </w:r>
    </w:p>
    <w:p w14:paraId="04402CE7" w14:textId="77777777" w:rsidR="008F1FF1" w:rsidRPr="009E735E" w:rsidRDefault="008F1FF1" w:rsidP="008F1FF1">
      <w:pPr>
        <w:ind w:left="720"/>
      </w:pPr>
    </w:p>
    <w:p w14:paraId="2D075483" w14:textId="77777777" w:rsidR="008F1FF1" w:rsidRPr="00A70870" w:rsidRDefault="008F1FF1" w:rsidP="008F1FF1">
      <w:pPr>
        <w:pStyle w:val="ListParagraph"/>
        <w:spacing w:line="276" w:lineRule="auto"/>
        <w:rPr>
          <w:rFonts w:cstheme="minorHAnsi"/>
          <w:b/>
          <w:bCs/>
        </w:rPr>
      </w:pPr>
      <w:r w:rsidRPr="00A70870">
        <w:rPr>
          <w:rFonts w:cstheme="minorHAnsi"/>
          <w:b/>
          <w:bCs/>
        </w:rPr>
        <w:t>Guiding Principles for engagement with Corporates</w:t>
      </w:r>
    </w:p>
    <w:p w14:paraId="0D420115" w14:textId="77777777" w:rsidR="008F1FF1" w:rsidRPr="00A70870" w:rsidRDefault="008F1FF1" w:rsidP="008F1FF1">
      <w:pPr>
        <w:pStyle w:val="ListParagraph"/>
        <w:spacing w:line="276" w:lineRule="auto"/>
        <w:rPr>
          <w:rFonts w:cstheme="minorHAnsi"/>
        </w:rPr>
      </w:pPr>
    </w:p>
    <w:p w14:paraId="38302DCA" w14:textId="77777777" w:rsidR="008F1FF1" w:rsidRPr="00A70870" w:rsidRDefault="008F1FF1" w:rsidP="008F1FF1">
      <w:pPr>
        <w:pStyle w:val="ListParagraph"/>
        <w:numPr>
          <w:ilvl w:val="0"/>
          <w:numId w:val="25"/>
        </w:numPr>
        <w:spacing w:line="276" w:lineRule="auto"/>
        <w:rPr>
          <w:rFonts w:cstheme="minorHAnsi"/>
          <w:u w:val="single"/>
        </w:rPr>
      </w:pPr>
      <w:r w:rsidRPr="00A70870">
        <w:rPr>
          <w:rFonts w:cstheme="minorHAnsi"/>
        </w:rPr>
        <w:t xml:space="preserve">Do no harm to migratory waterbirds and their important habitats in the East Asia-Australasian Flyway </w:t>
      </w:r>
    </w:p>
    <w:p w14:paraId="2B5969D6" w14:textId="77777777" w:rsidR="008F1FF1" w:rsidRPr="00A70870" w:rsidRDefault="008F1FF1" w:rsidP="008F1FF1">
      <w:pPr>
        <w:pStyle w:val="ListParagraph"/>
        <w:numPr>
          <w:ilvl w:val="0"/>
          <w:numId w:val="25"/>
        </w:numPr>
        <w:spacing w:line="276" w:lineRule="auto"/>
        <w:rPr>
          <w:rFonts w:cstheme="minorHAnsi"/>
          <w:u w:val="single"/>
        </w:rPr>
      </w:pPr>
      <w:r w:rsidRPr="00A70870">
        <w:rPr>
          <w:rFonts w:cstheme="minorHAnsi"/>
        </w:rPr>
        <w:t xml:space="preserve">Contribute to the implement the EAAFP Strategic Plan 2019-2028 </w:t>
      </w:r>
    </w:p>
    <w:p w14:paraId="203E0D36" w14:textId="77777777" w:rsidR="008F1FF1" w:rsidRPr="00A70870" w:rsidRDefault="008F1FF1" w:rsidP="008F1FF1">
      <w:pPr>
        <w:pStyle w:val="ListParagraph"/>
        <w:numPr>
          <w:ilvl w:val="0"/>
          <w:numId w:val="25"/>
        </w:numPr>
        <w:spacing w:line="276" w:lineRule="auto"/>
        <w:rPr>
          <w:rFonts w:cstheme="minorHAnsi"/>
        </w:rPr>
      </w:pPr>
      <w:r w:rsidRPr="00A70870">
        <w:rPr>
          <w:rFonts w:cstheme="minorHAnsi"/>
        </w:rPr>
        <w:t xml:space="preserve">Mutual benefits are expected between the EAAFP and the corporate </w:t>
      </w:r>
    </w:p>
    <w:p w14:paraId="078D9BA0" w14:textId="77777777" w:rsidR="008F1FF1" w:rsidRPr="00A70870" w:rsidRDefault="008F1FF1" w:rsidP="008F1FF1">
      <w:pPr>
        <w:pStyle w:val="ListParagraph"/>
        <w:numPr>
          <w:ilvl w:val="0"/>
          <w:numId w:val="25"/>
        </w:numPr>
        <w:spacing w:line="276" w:lineRule="auto"/>
        <w:rPr>
          <w:rFonts w:cstheme="minorHAnsi"/>
        </w:rPr>
      </w:pPr>
      <w:r w:rsidRPr="00A70870">
        <w:rPr>
          <w:rFonts w:cstheme="minorHAnsi"/>
        </w:rPr>
        <w:t>The engagement should not diminish EAAFP’s integrity and reputation</w:t>
      </w:r>
    </w:p>
    <w:p w14:paraId="5E97F5C8" w14:textId="77777777" w:rsidR="008F1FF1" w:rsidRPr="00A70870" w:rsidRDefault="008F1FF1" w:rsidP="008F1FF1">
      <w:pPr>
        <w:pStyle w:val="ListParagraph"/>
        <w:numPr>
          <w:ilvl w:val="0"/>
          <w:numId w:val="25"/>
        </w:numPr>
        <w:spacing w:line="276" w:lineRule="auto"/>
        <w:rPr>
          <w:rFonts w:cstheme="minorHAnsi"/>
        </w:rPr>
      </w:pPr>
      <w:r w:rsidRPr="00A70870">
        <w:rPr>
          <w:rFonts w:cstheme="minorHAnsi"/>
        </w:rPr>
        <w:t>Cooperation with the corporate must be transparent in financial management and follow the financial regulations and rules of the</w:t>
      </w:r>
      <w:r>
        <w:rPr>
          <w:rFonts w:cstheme="minorHAnsi"/>
        </w:rPr>
        <w:t xml:space="preserve"> respective</w:t>
      </w:r>
      <w:r w:rsidRPr="00A70870">
        <w:rPr>
          <w:rFonts w:cstheme="minorHAnsi"/>
        </w:rPr>
        <w:t xml:space="preserve"> country(</w:t>
      </w:r>
      <w:proofErr w:type="spellStart"/>
      <w:r w:rsidRPr="00A70870">
        <w:rPr>
          <w:rFonts w:cstheme="minorHAnsi"/>
        </w:rPr>
        <w:t>ies</w:t>
      </w:r>
      <w:proofErr w:type="spellEnd"/>
      <w:r w:rsidRPr="00A70870">
        <w:rPr>
          <w:rFonts w:cstheme="minorHAnsi"/>
        </w:rPr>
        <w:t xml:space="preserve">). </w:t>
      </w:r>
    </w:p>
    <w:p w14:paraId="06BCDD64" w14:textId="77777777" w:rsidR="008F1FF1" w:rsidRPr="00A70870" w:rsidRDefault="008F1FF1" w:rsidP="008F1FF1">
      <w:pPr>
        <w:pStyle w:val="ListParagraph"/>
        <w:numPr>
          <w:ilvl w:val="0"/>
          <w:numId w:val="25"/>
        </w:numPr>
        <w:spacing w:line="276" w:lineRule="auto"/>
        <w:rPr>
          <w:rFonts w:cstheme="minorHAnsi"/>
        </w:rPr>
      </w:pPr>
      <w:r w:rsidRPr="00A70870">
        <w:rPr>
          <w:rFonts w:cstheme="minorHAnsi"/>
        </w:rPr>
        <w:t>Do not undermine the existing relationship with other corporates or other Partners</w:t>
      </w:r>
    </w:p>
    <w:p w14:paraId="1685EFBE" w14:textId="77777777" w:rsidR="008F1FF1" w:rsidRPr="00A70870" w:rsidRDefault="008F1FF1" w:rsidP="008F1FF1">
      <w:pPr>
        <w:pStyle w:val="ListParagraph"/>
        <w:numPr>
          <w:ilvl w:val="0"/>
          <w:numId w:val="25"/>
        </w:numPr>
        <w:spacing w:line="276" w:lineRule="auto"/>
        <w:rPr>
          <w:rFonts w:cstheme="minorHAnsi"/>
        </w:rPr>
      </w:pPr>
      <w:r w:rsidRPr="00A70870">
        <w:rPr>
          <w:rFonts w:cstheme="minorHAnsi"/>
        </w:rPr>
        <w:t xml:space="preserve">The engagement should not result in negative public perceptions of the EAAFP </w:t>
      </w:r>
    </w:p>
    <w:p w14:paraId="2B4AF828" w14:textId="77777777" w:rsidR="008F1FF1" w:rsidRPr="00A70870" w:rsidRDefault="008F1FF1" w:rsidP="008F1FF1">
      <w:pPr>
        <w:pStyle w:val="ListParagraph"/>
        <w:numPr>
          <w:ilvl w:val="0"/>
          <w:numId w:val="25"/>
        </w:numPr>
        <w:spacing w:line="276" w:lineRule="auto"/>
        <w:rPr>
          <w:rFonts w:cstheme="minorHAnsi"/>
        </w:rPr>
      </w:pPr>
      <w:r w:rsidRPr="00A70870">
        <w:rPr>
          <w:rFonts w:cstheme="minorHAnsi"/>
        </w:rPr>
        <w:t>A communication protocol is in place to guide the way the engagement is presented to the outside world</w:t>
      </w:r>
    </w:p>
    <w:p w14:paraId="761EEFD8" w14:textId="77777777" w:rsidR="008F1FF1" w:rsidRPr="00A70870" w:rsidRDefault="008F1FF1" w:rsidP="008F1FF1">
      <w:pPr>
        <w:pStyle w:val="ListParagraph"/>
        <w:numPr>
          <w:ilvl w:val="0"/>
          <w:numId w:val="25"/>
        </w:numPr>
        <w:spacing w:line="276" w:lineRule="auto"/>
        <w:rPr>
          <w:rFonts w:cstheme="minorHAnsi"/>
        </w:rPr>
      </w:pPr>
      <w:r w:rsidRPr="00A70870">
        <w:rPr>
          <w:rFonts w:cstheme="minorHAnsi"/>
        </w:rPr>
        <w:t xml:space="preserve">A potential engagement candidate should not be involved in .. </w:t>
      </w:r>
    </w:p>
    <w:p w14:paraId="1BE41F17" w14:textId="77777777" w:rsidR="008F1FF1" w:rsidRPr="00A70870" w:rsidRDefault="008F1FF1" w:rsidP="008F1FF1">
      <w:pPr>
        <w:pStyle w:val="ListParagraph"/>
        <w:numPr>
          <w:ilvl w:val="1"/>
          <w:numId w:val="25"/>
        </w:numPr>
        <w:spacing w:line="276" w:lineRule="auto"/>
        <w:rPr>
          <w:rFonts w:cstheme="minorHAnsi"/>
        </w:rPr>
      </w:pPr>
      <w:r w:rsidRPr="00A70870">
        <w:rPr>
          <w:rFonts w:cstheme="minorHAnsi"/>
        </w:rPr>
        <w:t>[weapons and war-related industries  -  weapons with the exception of hunting equipment?]</w:t>
      </w:r>
    </w:p>
    <w:p w14:paraId="1989854E" w14:textId="77777777" w:rsidR="008F1FF1" w:rsidRPr="00A70870" w:rsidRDefault="008F1FF1" w:rsidP="008F1FF1">
      <w:pPr>
        <w:pStyle w:val="ListParagraph"/>
        <w:numPr>
          <w:ilvl w:val="1"/>
          <w:numId w:val="25"/>
        </w:numPr>
        <w:spacing w:line="276" w:lineRule="auto"/>
        <w:rPr>
          <w:rFonts w:cstheme="minorHAnsi"/>
        </w:rPr>
      </w:pPr>
      <w:r w:rsidRPr="00A70870">
        <w:rPr>
          <w:rFonts w:cstheme="minorHAnsi"/>
        </w:rPr>
        <w:t>[Child labor]</w:t>
      </w:r>
    </w:p>
    <w:p w14:paraId="4BCBD3E8" w14:textId="77777777" w:rsidR="008F1FF1" w:rsidRPr="00A70870" w:rsidRDefault="008F1FF1" w:rsidP="008F1FF1">
      <w:pPr>
        <w:pStyle w:val="ListParagraph"/>
        <w:numPr>
          <w:ilvl w:val="1"/>
          <w:numId w:val="25"/>
        </w:numPr>
        <w:spacing w:line="276" w:lineRule="auto"/>
        <w:rPr>
          <w:rFonts w:cstheme="minorHAnsi"/>
        </w:rPr>
      </w:pPr>
      <w:r w:rsidRPr="00A70870">
        <w:rPr>
          <w:rFonts w:cstheme="minorHAnsi"/>
        </w:rPr>
        <w:t>[Violation of human rights]</w:t>
      </w:r>
    </w:p>
    <w:p w14:paraId="658D4B90" w14:textId="77777777" w:rsidR="008F1FF1" w:rsidRPr="00A70870" w:rsidRDefault="008F1FF1" w:rsidP="008F1FF1">
      <w:pPr>
        <w:pStyle w:val="ListParagraph"/>
        <w:numPr>
          <w:ilvl w:val="1"/>
          <w:numId w:val="25"/>
        </w:numPr>
        <w:spacing w:line="276" w:lineRule="auto"/>
        <w:rPr>
          <w:rFonts w:cstheme="minorHAnsi"/>
        </w:rPr>
      </w:pPr>
      <w:r w:rsidRPr="00A70870">
        <w:rPr>
          <w:rFonts w:cstheme="minorHAnsi"/>
        </w:rPr>
        <w:t>[causing significant threat to human health]</w:t>
      </w:r>
    </w:p>
    <w:p w14:paraId="7898BCCF" w14:textId="77777777" w:rsidR="008F1FF1" w:rsidRPr="00A70870" w:rsidRDefault="008F1FF1" w:rsidP="008F1FF1">
      <w:pPr>
        <w:pStyle w:val="ListParagraph"/>
        <w:numPr>
          <w:ilvl w:val="1"/>
          <w:numId w:val="25"/>
        </w:numPr>
        <w:spacing w:line="276" w:lineRule="auto"/>
        <w:rPr>
          <w:rFonts w:cstheme="minorHAnsi"/>
        </w:rPr>
      </w:pPr>
      <w:r w:rsidRPr="00A70870">
        <w:rPr>
          <w:rFonts w:cstheme="minorHAnsi"/>
        </w:rPr>
        <w:t>[significant habitat destruction without policies to follow the mitigation hierarchy in that…..]</w:t>
      </w:r>
    </w:p>
    <w:p w14:paraId="169047D0" w14:textId="77777777" w:rsidR="008F1FF1" w:rsidRPr="00A70870" w:rsidRDefault="008F1FF1" w:rsidP="008F1FF1">
      <w:pPr>
        <w:ind w:left="380"/>
        <w:rPr>
          <w:rFonts w:cstheme="minorHAnsi"/>
        </w:rPr>
      </w:pPr>
      <w:r w:rsidRPr="00A70870">
        <w:rPr>
          <w:rFonts w:cstheme="minorHAnsi"/>
        </w:rPr>
        <w:t>As an example, the Committee discussed an approach from the largest coal port in the world based in Australia to become an EAAFP corporate champion.  It was agreed that the Secretariat will not seek sponsorship from coal export companies due to the need for worldwide reductions in carbon emissions and consequently potential damage to the reputation of the EAAFP.</w:t>
      </w:r>
    </w:p>
    <w:p w14:paraId="418EAEE2" w14:textId="0C8E3B5C" w:rsidR="00BD4205" w:rsidRDefault="00BD4205"/>
    <w:sectPr w:rsidR="00BD4205" w:rsidSect="00C3307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20AC" w14:textId="77777777" w:rsidR="00461462" w:rsidRDefault="00461462" w:rsidP="00647AB3">
      <w:pPr>
        <w:spacing w:after="0" w:line="240" w:lineRule="auto"/>
      </w:pPr>
      <w:r>
        <w:separator/>
      </w:r>
    </w:p>
  </w:endnote>
  <w:endnote w:type="continuationSeparator" w:id="0">
    <w:p w14:paraId="2C1EAF4B" w14:textId="77777777" w:rsidR="00461462" w:rsidRDefault="00461462"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820405"/>
      <w:docPartObj>
        <w:docPartGallery w:val="Page Numbers (Bottom of Page)"/>
        <w:docPartUnique/>
      </w:docPartObj>
    </w:sdtPr>
    <w:sdtEndPr>
      <w:rPr>
        <w:noProof/>
      </w:rPr>
    </w:sdtEndPr>
    <w:sdtContent>
      <w:p w14:paraId="3D523AC8" w14:textId="769A5E07" w:rsidR="00280FE1" w:rsidRDefault="00280FE1">
        <w:pPr>
          <w:pStyle w:val="Footer"/>
          <w:jc w:val="right"/>
        </w:pPr>
        <w:r>
          <w:fldChar w:fldCharType="begin"/>
        </w:r>
        <w:r>
          <w:instrText xml:space="preserve"> PAGE   \* MERGEFORMAT </w:instrText>
        </w:r>
        <w:r>
          <w:fldChar w:fldCharType="separate"/>
        </w:r>
        <w:r w:rsidR="009F0906">
          <w:rPr>
            <w:noProof/>
          </w:rPr>
          <w:t>7</w:t>
        </w:r>
        <w:r>
          <w:rPr>
            <w:noProof/>
          </w:rPr>
          <w:fldChar w:fldCharType="end"/>
        </w:r>
      </w:p>
    </w:sdtContent>
  </w:sdt>
  <w:p w14:paraId="4DAA64F1" w14:textId="77777777" w:rsidR="00280FE1" w:rsidRDefault="00280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4B02" w14:textId="77777777" w:rsidR="00461462" w:rsidRDefault="00461462" w:rsidP="00647AB3">
      <w:pPr>
        <w:spacing w:after="0" w:line="240" w:lineRule="auto"/>
      </w:pPr>
      <w:r>
        <w:separator/>
      </w:r>
    </w:p>
  </w:footnote>
  <w:footnote w:type="continuationSeparator" w:id="0">
    <w:p w14:paraId="65C5925A" w14:textId="77777777" w:rsidR="00461462" w:rsidRDefault="00461462"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EAF5" w14:textId="74F982ED" w:rsidR="00280FE1" w:rsidRPr="00BD1D74" w:rsidRDefault="00280FE1" w:rsidP="00EC7303">
    <w:pPr>
      <w:pStyle w:val="Header"/>
      <w:pBdr>
        <w:bottom w:val="single" w:sz="4" w:space="1" w:color="auto"/>
      </w:pBdr>
      <w:rPr>
        <w:rFonts w:cs="Arial"/>
        <w:i/>
        <w:sz w:val="20"/>
        <w:szCs w:val="20"/>
        <w:lang w:val="de-DE"/>
      </w:rPr>
    </w:pPr>
    <w:bookmarkStart w:id="5" w:name="_Hlk524443391"/>
    <w:bookmarkStart w:id="6" w:name="_Hlk524443392"/>
    <w:bookmarkStart w:id="7" w:name="_Hlk524444314"/>
    <w:bookmarkStart w:id="8" w:name="_Hlk524444315"/>
    <w:r w:rsidRPr="00BD1D74">
      <w:rPr>
        <w:rFonts w:cs="Arial"/>
        <w:i/>
        <w:sz w:val="20"/>
        <w:szCs w:val="20"/>
        <w:lang w:val="de-DE"/>
      </w:rPr>
      <w:t>EAAFP/M</w:t>
    </w:r>
    <w:r w:rsidR="001C3BC1">
      <w:rPr>
        <w:rFonts w:cs="Arial"/>
        <w:i/>
        <w:sz w:val="20"/>
        <w:szCs w:val="20"/>
        <w:lang w:val="de-DE"/>
      </w:rPr>
      <w:t>O</w:t>
    </w:r>
    <w:r w:rsidRPr="00BD1D74">
      <w:rPr>
        <w:rFonts w:cs="Arial"/>
        <w:i/>
        <w:sz w:val="20"/>
        <w:szCs w:val="20"/>
        <w:lang w:val="de-DE"/>
      </w:rPr>
      <w:t>P1</w:t>
    </w:r>
    <w:r w:rsidR="001C3BC1">
      <w:rPr>
        <w:rFonts w:cs="Arial"/>
        <w:i/>
        <w:sz w:val="20"/>
        <w:szCs w:val="20"/>
        <w:lang w:val="de-DE"/>
      </w:rPr>
      <w:t>1</w:t>
    </w:r>
    <w:r w:rsidRPr="00BD1D74">
      <w:rPr>
        <w:rFonts w:cs="Arial"/>
        <w:i/>
        <w:sz w:val="20"/>
        <w:szCs w:val="20"/>
        <w:lang w:val="de-DE"/>
      </w:rPr>
      <w:t>/</w:t>
    </w:r>
    <w:r w:rsidR="001C3BC1">
      <w:rPr>
        <w:rFonts w:cs="Arial"/>
        <w:i/>
        <w:sz w:val="20"/>
        <w:szCs w:val="20"/>
        <w:lang w:val="de-DE"/>
      </w:rPr>
      <w:t xml:space="preserve">Draft </w:t>
    </w:r>
    <w:r w:rsidRPr="00BD1D74">
      <w:rPr>
        <w:rFonts w:cs="Arial"/>
        <w:i/>
        <w:sz w:val="20"/>
        <w:szCs w:val="20"/>
        <w:lang w:val="de-DE"/>
      </w:rPr>
      <w:t>D</w:t>
    </w:r>
    <w:r>
      <w:rPr>
        <w:rFonts w:cs="Arial"/>
        <w:i/>
        <w:sz w:val="20"/>
        <w:szCs w:val="20"/>
        <w:lang w:val="de-DE"/>
      </w:rPr>
      <w:t>ocument</w:t>
    </w:r>
    <w:r w:rsidRPr="00BD1D74">
      <w:rPr>
        <w:rFonts w:cs="Arial"/>
        <w:i/>
        <w:sz w:val="20"/>
        <w:szCs w:val="20"/>
        <w:lang w:val="de-DE"/>
      </w:rPr>
      <w:t xml:space="preserve"> </w:t>
    </w:r>
    <w:bookmarkEnd w:id="5"/>
    <w:bookmarkEnd w:id="6"/>
    <w:bookmarkEnd w:id="7"/>
    <w:bookmarkEnd w:id="8"/>
    <w:r w:rsidR="005C067F">
      <w:rPr>
        <w:rFonts w:cs="Arial"/>
        <w:i/>
        <w:sz w:val="20"/>
        <w:szCs w:val="20"/>
        <w:lang w:val="de-D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DF0"/>
    <w:multiLevelType w:val="multilevel"/>
    <w:tmpl w:val="D02A60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A44B62"/>
    <w:multiLevelType w:val="hybridMultilevel"/>
    <w:tmpl w:val="ECC6EDE0"/>
    <w:lvl w:ilvl="0" w:tplc="C23AAC0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B2B07"/>
    <w:multiLevelType w:val="hybridMultilevel"/>
    <w:tmpl w:val="E6CC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A39AE"/>
    <w:multiLevelType w:val="hybridMultilevel"/>
    <w:tmpl w:val="A0E86554"/>
    <w:lvl w:ilvl="0" w:tplc="CE30A872">
      <w:start w:val="6"/>
      <w:numFmt w:val="bullet"/>
      <w:lvlText w:val="-"/>
      <w:lvlJc w:val="left"/>
      <w:pPr>
        <w:ind w:left="720" w:hanging="360"/>
      </w:pPr>
      <w:rPr>
        <w:rFonts w:ascii="Arial" w:eastAsia="굴림"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77C3B"/>
    <w:multiLevelType w:val="hybridMultilevel"/>
    <w:tmpl w:val="6F301C6A"/>
    <w:lvl w:ilvl="0" w:tplc="CF00DD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02DE3"/>
    <w:multiLevelType w:val="hybridMultilevel"/>
    <w:tmpl w:val="50149F98"/>
    <w:lvl w:ilvl="0" w:tplc="1D34BA34">
      <w:start w:val="1"/>
      <w:numFmt w:val="bullet"/>
      <w:lvlText w:val=""/>
      <w:lvlJc w:val="left"/>
      <w:pPr>
        <w:ind w:left="720"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F6557"/>
    <w:multiLevelType w:val="hybridMultilevel"/>
    <w:tmpl w:val="A10A90C0"/>
    <w:lvl w:ilvl="0" w:tplc="6B0ACB24">
      <w:start w:val="1"/>
      <w:numFmt w:val="upperRoman"/>
      <w:lvlText w:val="%1."/>
      <w:lvlJc w:val="left"/>
      <w:pPr>
        <w:ind w:left="820" w:hanging="440"/>
        <w:jc w:val="left"/>
      </w:pPr>
      <w:rPr>
        <w:rFonts w:ascii="Calibri" w:eastAsia="Calibri" w:hAnsi="Calibri" w:cs="Calibri" w:hint="default"/>
        <w:b/>
        <w:bCs/>
        <w:i w:val="0"/>
        <w:iCs w:val="0"/>
        <w:spacing w:val="0"/>
        <w:w w:val="100"/>
        <w:sz w:val="22"/>
        <w:szCs w:val="22"/>
        <w:lang w:val="en-US" w:eastAsia="en-US" w:bidi="ar-SA"/>
      </w:rPr>
    </w:lvl>
    <w:lvl w:ilvl="1" w:tplc="C5D4CE12">
      <w:numFmt w:val="bullet"/>
      <w:lvlText w:val="•"/>
      <w:lvlJc w:val="left"/>
      <w:pPr>
        <w:ind w:left="1764" w:hanging="440"/>
      </w:pPr>
      <w:rPr>
        <w:rFonts w:hint="default"/>
        <w:lang w:val="en-US" w:eastAsia="en-US" w:bidi="ar-SA"/>
      </w:rPr>
    </w:lvl>
    <w:lvl w:ilvl="2" w:tplc="46048796">
      <w:numFmt w:val="bullet"/>
      <w:lvlText w:val="•"/>
      <w:lvlJc w:val="left"/>
      <w:pPr>
        <w:ind w:left="2708" w:hanging="440"/>
      </w:pPr>
      <w:rPr>
        <w:rFonts w:hint="default"/>
        <w:lang w:val="en-US" w:eastAsia="en-US" w:bidi="ar-SA"/>
      </w:rPr>
    </w:lvl>
    <w:lvl w:ilvl="3" w:tplc="F716C2CC">
      <w:numFmt w:val="bullet"/>
      <w:lvlText w:val="•"/>
      <w:lvlJc w:val="left"/>
      <w:pPr>
        <w:ind w:left="3652" w:hanging="440"/>
      </w:pPr>
      <w:rPr>
        <w:rFonts w:hint="default"/>
        <w:lang w:val="en-US" w:eastAsia="en-US" w:bidi="ar-SA"/>
      </w:rPr>
    </w:lvl>
    <w:lvl w:ilvl="4" w:tplc="7DB898CA">
      <w:numFmt w:val="bullet"/>
      <w:lvlText w:val="•"/>
      <w:lvlJc w:val="left"/>
      <w:pPr>
        <w:ind w:left="4596" w:hanging="440"/>
      </w:pPr>
      <w:rPr>
        <w:rFonts w:hint="default"/>
        <w:lang w:val="en-US" w:eastAsia="en-US" w:bidi="ar-SA"/>
      </w:rPr>
    </w:lvl>
    <w:lvl w:ilvl="5" w:tplc="E4CE527E">
      <w:numFmt w:val="bullet"/>
      <w:lvlText w:val="•"/>
      <w:lvlJc w:val="left"/>
      <w:pPr>
        <w:ind w:left="5540" w:hanging="440"/>
      </w:pPr>
      <w:rPr>
        <w:rFonts w:hint="default"/>
        <w:lang w:val="en-US" w:eastAsia="en-US" w:bidi="ar-SA"/>
      </w:rPr>
    </w:lvl>
    <w:lvl w:ilvl="6" w:tplc="30E2AD80">
      <w:numFmt w:val="bullet"/>
      <w:lvlText w:val="•"/>
      <w:lvlJc w:val="left"/>
      <w:pPr>
        <w:ind w:left="6484" w:hanging="440"/>
      </w:pPr>
      <w:rPr>
        <w:rFonts w:hint="default"/>
        <w:lang w:val="en-US" w:eastAsia="en-US" w:bidi="ar-SA"/>
      </w:rPr>
    </w:lvl>
    <w:lvl w:ilvl="7" w:tplc="9922355A">
      <w:numFmt w:val="bullet"/>
      <w:lvlText w:val="•"/>
      <w:lvlJc w:val="left"/>
      <w:pPr>
        <w:ind w:left="7428" w:hanging="440"/>
      </w:pPr>
      <w:rPr>
        <w:rFonts w:hint="default"/>
        <w:lang w:val="en-US" w:eastAsia="en-US" w:bidi="ar-SA"/>
      </w:rPr>
    </w:lvl>
    <w:lvl w:ilvl="8" w:tplc="07B28EDA">
      <w:numFmt w:val="bullet"/>
      <w:lvlText w:val="•"/>
      <w:lvlJc w:val="left"/>
      <w:pPr>
        <w:ind w:left="8372" w:hanging="440"/>
      </w:pPr>
      <w:rPr>
        <w:rFonts w:hint="default"/>
        <w:lang w:val="en-US" w:eastAsia="en-US" w:bidi="ar-SA"/>
      </w:rPr>
    </w:lvl>
  </w:abstractNum>
  <w:abstractNum w:abstractNumId="9" w15:restartNumberingAfterBreak="0">
    <w:nsid w:val="3A98205B"/>
    <w:multiLevelType w:val="multilevel"/>
    <w:tmpl w:val="D534E5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407BEB"/>
    <w:multiLevelType w:val="hybridMultilevel"/>
    <w:tmpl w:val="0AEC5C86"/>
    <w:lvl w:ilvl="0" w:tplc="5468A816">
      <w:start w:val="1"/>
      <w:numFmt w:val="bullet"/>
      <w:lvlText w:val=""/>
      <w:lvlJc w:val="left"/>
      <w:pPr>
        <w:ind w:left="720" w:hanging="360"/>
      </w:pPr>
      <w:rPr>
        <w:rFonts w:ascii="Symbol" w:hAnsi="Symbol" w:hint="default"/>
        <w:color w:val="auto"/>
        <w:sz w:val="20"/>
      </w:rPr>
    </w:lvl>
    <w:lvl w:ilvl="1" w:tplc="F0EA0618">
      <w:numFmt w:val="bullet"/>
      <w:lvlText w:val="–"/>
      <w:lvlJc w:val="left"/>
      <w:pPr>
        <w:ind w:left="1440" w:hanging="360"/>
      </w:pPr>
      <w:rPr>
        <w:rFonts w:ascii="Calibri" w:eastAsia="Times New Roman" w:hAnsi="Calibri" w:cs="Times New Roman" w:hint="default"/>
        <w:b/>
      </w:rPr>
    </w:lvl>
    <w:lvl w:ilvl="2" w:tplc="F5C2ABE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C3BC9"/>
    <w:multiLevelType w:val="multilevel"/>
    <w:tmpl w:val="A91C299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74A2231"/>
    <w:multiLevelType w:val="hybridMultilevel"/>
    <w:tmpl w:val="5AE09916"/>
    <w:lvl w:ilvl="0" w:tplc="E7345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034D5F"/>
    <w:multiLevelType w:val="hybridMultilevel"/>
    <w:tmpl w:val="866EA722"/>
    <w:lvl w:ilvl="0" w:tplc="5AACD880">
      <w:start w:val="1"/>
      <w:numFmt w:val="bullet"/>
      <w:lvlText w:val=""/>
      <w:lvlJc w:val="left"/>
      <w:pPr>
        <w:ind w:left="720" w:hanging="360"/>
      </w:pPr>
      <w:rPr>
        <w:rFonts w:ascii="Wingdings" w:hAnsi="Wingdings"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E7E5E"/>
    <w:multiLevelType w:val="multilevel"/>
    <w:tmpl w:val="7290779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A391FBB"/>
    <w:multiLevelType w:val="hybridMultilevel"/>
    <w:tmpl w:val="182821F6"/>
    <w:lvl w:ilvl="0" w:tplc="326A5BF0">
      <w:start w:val="3"/>
      <w:numFmt w:val="decimal"/>
      <w:lvlText w:val="%1."/>
      <w:lvlJc w:val="left"/>
      <w:pPr>
        <w:ind w:left="740" w:hanging="360"/>
      </w:pPr>
      <w:rPr>
        <w:rFonts w:hint="default"/>
        <w:b/>
        <w:bCs/>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6" w15:restartNumberingAfterBreak="0">
    <w:nsid w:val="4C5F0ED3"/>
    <w:multiLevelType w:val="hybridMultilevel"/>
    <w:tmpl w:val="868084BC"/>
    <w:lvl w:ilvl="0" w:tplc="4802EA4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E759D5"/>
    <w:multiLevelType w:val="hybridMultilevel"/>
    <w:tmpl w:val="15549990"/>
    <w:lvl w:ilvl="0" w:tplc="B6C88A08">
      <w:numFmt w:val="bullet"/>
      <w:lvlText w:val=""/>
      <w:lvlJc w:val="left"/>
      <w:pPr>
        <w:ind w:left="864" w:hanging="360"/>
      </w:pPr>
      <w:rPr>
        <w:rFonts w:ascii="Symbol" w:eastAsia="Symbol" w:hAnsi="Symbol" w:cs="Symbol" w:hint="default"/>
        <w:b w:val="0"/>
        <w:bCs w:val="0"/>
        <w:i w:val="0"/>
        <w:iCs w:val="0"/>
        <w:w w:val="100"/>
        <w:sz w:val="22"/>
        <w:szCs w:val="22"/>
        <w:lang w:val="en-US" w:eastAsia="en-US" w:bidi="ar-SA"/>
      </w:rPr>
    </w:lvl>
    <w:lvl w:ilvl="1" w:tplc="F89C382C">
      <w:numFmt w:val="bullet"/>
      <w:lvlText w:val="•"/>
      <w:lvlJc w:val="left"/>
      <w:pPr>
        <w:ind w:left="1624" w:hanging="360"/>
      </w:pPr>
      <w:rPr>
        <w:rFonts w:hint="default"/>
        <w:lang w:val="en-US" w:eastAsia="en-US" w:bidi="ar-SA"/>
      </w:rPr>
    </w:lvl>
    <w:lvl w:ilvl="2" w:tplc="3BDA7068">
      <w:numFmt w:val="bullet"/>
      <w:lvlText w:val="•"/>
      <w:lvlJc w:val="left"/>
      <w:pPr>
        <w:ind w:left="2389" w:hanging="360"/>
      </w:pPr>
      <w:rPr>
        <w:rFonts w:hint="default"/>
        <w:lang w:val="en-US" w:eastAsia="en-US" w:bidi="ar-SA"/>
      </w:rPr>
    </w:lvl>
    <w:lvl w:ilvl="3" w:tplc="B6C2DF38">
      <w:numFmt w:val="bullet"/>
      <w:lvlText w:val="•"/>
      <w:lvlJc w:val="left"/>
      <w:pPr>
        <w:ind w:left="3153" w:hanging="360"/>
      </w:pPr>
      <w:rPr>
        <w:rFonts w:hint="default"/>
        <w:lang w:val="en-US" w:eastAsia="en-US" w:bidi="ar-SA"/>
      </w:rPr>
    </w:lvl>
    <w:lvl w:ilvl="4" w:tplc="EDDA88EE">
      <w:numFmt w:val="bullet"/>
      <w:lvlText w:val="•"/>
      <w:lvlJc w:val="left"/>
      <w:pPr>
        <w:ind w:left="3918" w:hanging="360"/>
      </w:pPr>
      <w:rPr>
        <w:rFonts w:hint="default"/>
        <w:lang w:val="en-US" w:eastAsia="en-US" w:bidi="ar-SA"/>
      </w:rPr>
    </w:lvl>
    <w:lvl w:ilvl="5" w:tplc="B89E0F92">
      <w:numFmt w:val="bullet"/>
      <w:lvlText w:val="•"/>
      <w:lvlJc w:val="left"/>
      <w:pPr>
        <w:ind w:left="4682" w:hanging="360"/>
      </w:pPr>
      <w:rPr>
        <w:rFonts w:hint="default"/>
        <w:lang w:val="en-US" w:eastAsia="en-US" w:bidi="ar-SA"/>
      </w:rPr>
    </w:lvl>
    <w:lvl w:ilvl="6" w:tplc="C54468BE">
      <w:numFmt w:val="bullet"/>
      <w:lvlText w:val="•"/>
      <w:lvlJc w:val="left"/>
      <w:pPr>
        <w:ind w:left="5447" w:hanging="360"/>
      </w:pPr>
      <w:rPr>
        <w:rFonts w:hint="default"/>
        <w:lang w:val="en-US" w:eastAsia="en-US" w:bidi="ar-SA"/>
      </w:rPr>
    </w:lvl>
    <w:lvl w:ilvl="7" w:tplc="9CB09A9A">
      <w:numFmt w:val="bullet"/>
      <w:lvlText w:val="•"/>
      <w:lvlJc w:val="left"/>
      <w:pPr>
        <w:ind w:left="6211" w:hanging="360"/>
      </w:pPr>
      <w:rPr>
        <w:rFonts w:hint="default"/>
        <w:lang w:val="en-US" w:eastAsia="en-US" w:bidi="ar-SA"/>
      </w:rPr>
    </w:lvl>
    <w:lvl w:ilvl="8" w:tplc="B1CEBE72">
      <w:numFmt w:val="bullet"/>
      <w:lvlText w:val="•"/>
      <w:lvlJc w:val="left"/>
      <w:pPr>
        <w:ind w:left="6976" w:hanging="360"/>
      </w:pPr>
      <w:rPr>
        <w:rFonts w:hint="default"/>
        <w:lang w:val="en-US" w:eastAsia="en-US" w:bidi="ar-SA"/>
      </w:rPr>
    </w:lvl>
  </w:abstractNum>
  <w:abstractNum w:abstractNumId="18" w15:restartNumberingAfterBreak="0">
    <w:nsid w:val="5AE42173"/>
    <w:multiLevelType w:val="hybridMultilevel"/>
    <w:tmpl w:val="23B4F5F8"/>
    <w:lvl w:ilvl="0" w:tplc="554215FE">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73BEF"/>
    <w:multiLevelType w:val="multilevel"/>
    <w:tmpl w:val="E6D662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0C070DA"/>
    <w:multiLevelType w:val="hybridMultilevel"/>
    <w:tmpl w:val="6E7C01FE"/>
    <w:lvl w:ilvl="0" w:tplc="8E560D00">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21572"/>
    <w:multiLevelType w:val="hybridMultilevel"/>
    <w:tmpl w:val="D8B40F0C"/>
    <w:lvl w:ilvl="0" w:tplc="5216650E">
      <w:start w:val="1"/>
      <w:numFmt w:val="upperRoman"/>
      <w:lvlText w:val="%1."/>
      <w:lvlJc w:val="left"/>
      <w:pPr>
        <w:ind w:left="443" w:hanging="260"/>
        <w:jc w:val="right"/>
      </w:pPr>
      <w:rPr>
        <w:rFonts w:ascii="Calibri" w:eastAsia="Calibri" w:hAnsi="Calibri" w:cs="Calibri" w:hint="default"/>
        <w:b/>
        <w:bCs/>
        <w:i w:val="0"/>
        <w:iCs w:val="0"/>
        <w:spacing w:val="0"/>
        <w:w w:val="100"/>
        <w:sz w:val="22"/>
        <w:szCs w:val="22"/>
        <w:lang w:val="en-US" w:eastAsia="en-US" w:bidi="ar-SA"/>
      </w:rPr>
    </w:lvl>
    <w:lvl w:ilvl="1" w:tplc="47562DC8">
      <w:start w:val="1"/>
      <w:numFmt w:val="decimal"/>
      <w:lvlText w:val="%2."/>
      <w:lvlJc w:val="left"/>
      <w:pPr>
        <w:ind w:left="3479" w:hanging="360"/>
        <w:jc w:val="left"/>
      </w:pPr>
      <w:rPr>
        <w:rFonts w:ascii="Calibri" w:eastAsia="Calibri" w:hAnsi="Calibri" w:cs="Calibri" w:hint="default"/>
        <w:b w:val="0"/>
        <w:bCs w:val="0"/>
        <w:i w:val="0"/>
        <w:iCs w:val="0"/>
        <w:w w:val="100"/>
        <w:sz w:val="22"/>
        <w:szCs w:val="22"/>
        <w:lang w:val="en-US" w:eastAsia="en-US" w:bidi="ar-SA"/>
      </w:rPr>
    </w:lvl>
    <w:lvl w:ilvl="2" w:tplc="AA027D50">
      <w:numFmt w:val="bullet"/>
      <w:lvlText w:val="•"/>
      <w:lvlJc w:val="left"/>
      <w:pPr>
        <w:ind w:left="1922" w:hanging="360"/>
      </w:pPr>
      <w:rPr>
        <w:rFonts w:hint="default"/>
        <w:lang w:val="en-US" w:eastAsia="en-US" w:bidi="ar-SA"/>
      </w:rPr>
    </w:lvl>
    <w:lvl w:ilvl="3" w:tplc="0BB0A126">
      <w:numFmt w:val="bullet"/>
      <w:lvlText w:val="•"/>
      <w:lvlJc w:val="left"/>
      <w:pPr>
        <w:ind w:left="2964" w:hanging="360"/>
      </w:pPr>
      <w:rPr>
        <w:rFonts w:hint="default"/>
        <w:lang w:val="en-US" w:eastAsia="en-US" w:bidi="ar-SA"/>
      </w:rPr>
    </w:lvl>
    <w:lvl w:ilvl="4" w:tplc="CEF0848A">
      <w:numFmt w:val="bullet"/>
      <w:lvlText w:val="•"/>
      <w:lvlJc w:val="left"/>
      <w:pPr>
        <w:ind w:left="4006" w:hanging="360"/>
      </w:pPr>
      <w:rPr>
        <w:rFonts w:hint="default"/>
        <w:lang w:val="en-US" w:eastAsia="en-US" w:bidi="ar-SA"/>
      </w:rPr>
    </w:lvl>
    <w:lvl w:ilvl="5" w:tplc="1B1EBCE6">
      <w:numFmt w:val="bullet"/>
      <w:lvlText w:val="•"/>
      <w:lvlJc w:val="left"/>
      <w:pPr>
        <w:ind w:left="5048" w:hanging="360"/>
      </w:pPr>
      <w:rPr>
        <w:rFonts w:hint="default"/>
        <w:lang w:val="en-US" w:eastAsia="en-US" w:bidi="ar-SA"/>
      </w:rPr>
    </w:lvl>
    <w:lvl w:ilvl="6" w:tplc="56A2D598">
      <w:numFmt w:val="bullet"/>
      <w:lvlText w:val="•"/>
      <w:lvlJc w:val="left"/>
      <w:pPr>
        <w:ind w:left="6091" w:hanging="360"/>
      </w:pPr>
      <w:rPr>
        <w:rFonts w:hint="default"/>
        <w:lang w:val="en-US" w:eastAsia="en-US" w:bidi="ar-SA"/>
      </w:rPr>
    </w:lvl>
    <w:lvl w:ilvl="7" w:tplc="E9CCF9AE">
      <w:numFmt w:val="bullet"/>
      <w:lvlText w:val="•"/>
      <w:lvlJc w:val="left"/>
      <w:pPr>
        <w:ind w:left="7133" w:hanging="360"/>
      </w:pPr>
      <w:rPr>
        <w:rFonts w:hint="default"/>
        <w:lang w:val="en-US" w:eastAsia="en-US" w:bidi="ar-SA"/>
      </w:rPr>
    </w:lvl>
    <w:lvl w:ilvl="8" w:tplc="4EDA5B08">
      <w:numFmt w:val="bullet"/>
      <w:lvlText w:val="•"/>
      <w:lvlJc w:val="left"/>
      <w:pPr>
        <w:ind w:left="8175" w:hanging="360"/>
      </w:pPr>
      <w:rPr>
        <w:rFonts w:hint="default"/>
        <w:lang w:val="en-US" w:eastAsia="en-US" w:bidi="ar-SA"/>
      </w:rPr>
    </w:lvl>
  </w:abstractNum>
  <w:abstractNum w:abstractNumId="22" w15:restartNumberingAfterBreak="0">
    <w:nsid w:val="6EBC041E"/>
    <w:multiLevelType w:val="hybridMultilevel"/>
    <w:tmpl w:val="28E6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A5BC1"/>
    <w:multiLevelType w:val="hybridMultilevel"/>
    <w:tmpl w:val="63866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6A850E9"/>
    <w:multiLevelType w:val="multilevel"/>
    <w:tmpl w:val="9E70CB6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3986736">
    <w:abstractNumId w:val="3"/>
  </w:num>
  <w:num w:numId="2" w16cid:durableId="465437353">
    <w:abstractNumId w:val="2"/>
  </w:num>
  <w:num w:numId="3" w16cid:durableId="696931303">
    <w:abstractNumId w:val="10"/>
  </w:num>
  <w:num w:numId="4" w16cid:durableId="507212773">
    <w:abstractNumId w:val="20"/>
  </w:num>
  <w:num w:numId="5" w16cid:durableId="420495524">
    <w:abstractNumId w:val="12"/>
  </w:num>
  <w:num w:numId="6" w16cid:durableId="1307513345">
    <w:abstractNumId w:val="1"/>
  </w:num>
  <w:num w:numId="7" w16cid:durableId="1137527688">
    <w:abstractNumId w:val="16"/>
  </w:num>
  <w:num w:numId="8" w16cid:durableId="1752433506">
    <w:abstractNumId w:val="18"/>
  </w:num>
  <w:num w:numId="9" w16cid:durableId="2090075837">
    <w:abstractNumId w:val="9"/>
  </w:num>
  <w:num w:numId="10" w16cid:durableId="895360962">
    <w:abstractNumId w:val="0"/>
  </w:num>
  <w:num w:numId="11" w16cid:durableId="901792143">
    <w:abstractNumId w:val="5"/>
  </w:num>
  <w:num w:numId="12" w16cid:durableId="1167473659">
    <w:abstractNumId w:val="13"/>
  </w:num>
  <w:num w:numId="13" w16cid:durableId="1440250122">
    <w:abstractNumId w:val="7"/>
  </w:num>
  <w:num w:numId="14" w16cid:durableId="1080830628">
    <w:abstractNumId w:val="22"/>
  </w:num>
  <w:num w:numId="15" w16cid:durableId="265233203">
    <w:abstractNumId w:val="4"/>
  </w:num>
  <w:num w:numId="16" w16cid:durableId="2062557148">
    <w:abstractNumId w:val="24"/>
  </w:num>
  <w:num w:numId="17" w16cid:durableId="2057852750">
    <w:abstractNumId w:val="19"/>
  </w:num>
  <w:num w:numId="18" w16cid:durableId="237179715">
    <w:abstractNumId w:val="11"/>
  </w:num>
  <w:num w:numId="19" w16cid:durableId="714626196">
    <w:abstractNumId w:val="14"/>
  </w:num>
  <w:num w:numId="20" w16cid:durableId="593325770">
    <w:abstractNumId w:val="21"/>
  </w:num>
  <w:num w:numId="21" w16cid:durableId="309483654">
    <w:abstractNumId w:val="8"/>
  </w:num>
  <w:num w:numId="22" w16cid:durableId="1660578731">
    <w:abstractNumId w:val="17"/>
  </w:num>
  <w:num w:numId="23" w16cid:durableId="1369989533">
    <w:abstractNumId w:val="6"/>
  </w:num>
  <w:num w:numId="24" w16cid:durableId="218368089">
    <w:abstractNumId w:val="15"/>
  </w:num>
  <w:num w:numId="25" w16cid:durableId="1328825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wMzUyMzEzMAYRSjpKwanFxZn5eSAFxrUAG7HEuSwAAAA="/>
  </w:docVars>
  <w:rsids>
    <w:rsidRoot w:val="00C33073"/>
    <w:rsid w:val="00033765"/>
    <w:rsid w:val="00036B9B"/>
    <w:rsid w:val="00050F19"/>
    <w:rsid w:val="00056898"/>
    <w:rsid w:val="0006020F"/>
    <w:rsid w:val="000842C2"/>
    <w:rsid w:val="000C6DCF"/>
    <w:rsid w:val="000C779D"/>
    <w:rsid w:val="000F2F97"/>
    <w:rsid w:val="0010589D"/>
    <w:rsid w:val="00127F46"/>
    <w:rsid w:val="00147E48"/>
    <w:rsid w:val="00157655"/>
    <w:rsid w:val="00161D31"/>
    <w:rsid w:val="001749AC"/>
    <w:rsid w:val="001930FA"/>
    <w:rsid w:val="001B7D81"/>
    <w:rsid w:val="001C3BC1"/>
    <w:rsid w:val="0021517D"/>
    <w:rsid w:val="00250A1C"/>
    <w:rsid w:val="0025523B"/>
    <w:rsid w:val="00280FE1"/>
    <w:rsid w:val="00286B41"/>
    <w:rsid w:val="00296B99"/>
    <w:rsid w:val="002A6214"/>
    <w:rsid w:val="002A7CA8"/>
    <w:rsid w:val="002B1283"/>
    <w:rsid w:val="002B1E89"/>
    <w:rsid w:val="002B5066"/>
    <w:rsid w:val="002B7E8A"/>
    <w:rsid w:val="00345442"/>
    <w:rsid w:val="003535B0"/>
    <w:rsid w:val="00354230"/>
    <w:rsid w:val="00363549"/>
    <w:rsid w:val="003D70DD"/>
    <w:rsid w:val="003E04F0"/>
    <w:rsid w:val="003E2F1F"/>
    <w:rsid w:val="00461462"/>
    <w:rsid w:val="0047671B"/>
    <w:rsid w:val="00481201"/>
    <w:rsid w:val="00491515"/>
    <w:rsid w:val="004C4D28"/>
    <w:rsid w:val="004E587E"/>
    <w:rsid w:val="004F3AB6"/>
    <w:rsid w:val="00562D8A"/>
    <w:rsid w:val="00576F7A"/>
    <w:rsid w:val="00587C0E"/>
    <w:rsid w:val="005A0FE5"/>
    <w:rsid w:val="005A7DA0"/>
    <w:rsid w:val="005C067F"/>
    <w:rsid w:val="005D1815"/>
    <w:rsid w:val="005F325E"/>
    <w:rsid w:val="00647AB3"/>
    <w:rsid w:val="00663334"/>
    <w:rsid w:val="006D3E18"/>
    <w:rsid w:val="006E27AA"/>
    <w:rsid w:val="00722847"/>
    <w:rsid w:val="0074054D"/>
    <w:rsid w:val="007566B3"/>
    <w:rsid w:val="00762153"/>
    <w:rsid w:val="00776FC2"/>
    <w:rsid w:val="007849D8"/>
    <w:rsid w:val="007B7259"/>
    <w:rsid w:val="007E412C"/>
    <w:rsid w:val="007F3125"/>
    <w:rsid w:val="00803947"/>
    <w:rsid w:val="00810291"/>
    <w:rsid w:val="0081479B"/>
    <w:rsid w:val="00836E68"/>
    <w:rsid w:val="00846BC6"/>
    <w:rsid w:val="00877AAB"/>
    <w:rsid w:val="00894EDF"/>
    <w:rsid w:val="008B678E"/>
    <w:rsid w:val="008C4A08"/>
    <w:rsid w:val="008F1FF1"/>
    <w:rsid w:val="0090599B"/>
    <w:rsid w:val="00912F38"/>
    <w:rsid w:val="00932603"/>
    <w:rsid w:val="00947BD5"/>
    <w:rsid w:val="0097090B"/>
    <w:rsid w:val="00975E80"/>
    <w:rsid w:val="009940FB"/>
    <w:rsid w:val="009A160F"/>
    <w:rsid w:val="009A2136"/>
    <w:rsid w:val="009A47F8"/>
    <w:rsid w:val="009D400D"/>
    <w:rsid w:val="009F0906"/>
    <w:rsid w:val="00A06146"/>
    <w:rsid w:val="00A264F6"/>
    <w:rsid w:val="00A30DD7"/>
    <w:rsid w:val="00A35BBB"/>
    <w:rsid w:val="00AE2C47"/>
    <w:rsid w:val="00AE2E2C"/>
    <w:rsid w:val="00B2728C"/>
    <w:rsid w:val="00B30DF8"/>
    <w:rsid w:val="00B329D6"/>
    <w:rsid w:val="00B54986"/>
    <w:rsid w:val="00B676F7"/>
    <w:rsid w:val="00B80813"/>
    <w:rsid w:val="00BC0800"/>
    <w:rsid w:val="00BD1D74"/>
    <w:rsid w:val="00BD4205"/>
    <w:rsid w:val="00BE1436"/>
    <w:rsid w:val="00BE666C"/>
    <w:rsid w:val="00BF222A"/>
    <w:rsid w:val="00C1722F"/>
    <w:rsid w:val="00C20849"/>
    <w:rsid w:val="00C33073"/>
    <w:rsid w:val="00C4294B"/>
    <w:rsid w:val="00C449C3"/>
    <w:rsid w:val="00C754A7"/>
    <w:rsid w:val="00C837EC"/>
    <w:rsid w:val="00CC68E8"/>
    <w:rsid w:val="00D30DD3"/>
    <w:rsid w:val="00D371FA"/>
    <w:rsid w:val="00D87DC8"/>
    <w:rsid w:val="00D97F9C"/>
    <w:rsid w:val="00DA2DB1"/>
    <w:rsid w:val="00DB5356"/>
    <w:rsid w:val="00DC5CC9"/>
    <w:rsid w:val="00E0336F"/>
    <w:rsid w:val="00E108EC"/>
    <w:rsid w:val="00E2345E"/>
    <w:rsid w:val="00E24907"/>
    <w:rsid w:val="00E30B1F"/>
    <w:rsid w:val="00E44383"/>
    <w:rsid w:val="00E73B4C"/>
    <w:rsid w:val="00EB038D"/>
    <w:rsid w:val="00EC7303"/>
    <w:rsid w:val="00ED4383"/>
    <w:rsid w:val="00EE31E2"/>
    <w:rsid w:val="00F15CC7"/>
    <w:rsid w:val="00F17707"/>
    <w:rsid w:val="00FA183E"/>
    <w:rsid w:val="00FB7195"/>
    <w:rsid w:val="00FC18E8"/>
    <w:rsid w:val="00FC7B69"/>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1C405E"/>
  <w15:docId w15:val="{BBD89865-9BFE-47A5-B2B6-82818C73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character" w:styleId="Hyperlink">
    <w:name w:val="Hyperlink"/>
    <w:uiPriority w:val="99"/>
    <w:unhideWhenUsed/>
    <w:rsid w:val="00894EDF"/>
    <w:rPr>
      <w:color w:val="0000FF"/>
      <w:u w:val="single"/>
    </w:rPr>
  </w:style>
  <w:style w:type="paragraph" w:customStyle="1" w:styleId="Default">
    <w:name w:val="Default"/>
    <w:rsid w:val="009940FB"/>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B7259"/>
    <w:pPr>
      <w:spacing w:after="0" w:line="240" w:lineRule="auto"/>
    </w:pPr>
  </w:style>
  <w:style w:type="paragraph" w:styleId="NormalWeb">
    <w:name w:val="Normal (Web)"/>
    <w:basedOn w:val="Normal"/>
    <w:uiPriority w:val="99"/>
    <w:semiHidden/>
    <w:unhideWhenUsed/>
    <w:rsid w:val="00BD4205"/>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paragraph" w:customStyle="1" w:styleId="paragraph">
    <w:name w:val="paragraph"/>
    <w:basedOn w:val="Normal"/>
    <w:rsid w:val="008F1FF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8F1FF1"/>
  </w:style>
  <w:style w:type="character" w:customStyle="1" w:styleId="eop">
    <w:name w:val="eop"/>
    <w:basedOn w:val="DefaultParagraphFont"/>
    <w:rsid w:val="008F1FF1"/>
  </w:style>
  <w:style w:type="character" w:customStyle="1" w:styleId="contentcontrolboundarysink">
    <w:name w:val="contentcontrolboundarysink"/>
    <w:basedOn w:val="DefaultParagraphFont"/>
    <w:rsid w:val="008F1FF1"/>
  </w:style>
  <w:style w:type="character" w:customStyle="1" w:styleId="contentcontrol">
    <w:name w:val="contentcontrol"/>
    <w:basedOn w:val="DefaultParagraphFont"/>
    <w:rsid w:val="008F1FF1"/>
  </w:style>
  <w:style w:type="character" w:customStyle="1" w:styleId="tabchar">
    <w:name w:val="tabchar"/>
    <w:basedOn w:val="DefaultParagraphFont"/>
    <w:rsid w:val="008F1FF1"/>
  </w:style>
  <w:style w:type="paragraph" w:styleId="TOC1">
    <w:name w:val="toc 1"/>
    <w:basedOn w:val="Normal"/>
    <w:uiPriority w:val="39"/>
    <w:qFormat/>
    <w:rsid w:val="008F1FF1"/>
    <w:pPr>
      <w:widowControl w:val="0"/>
      <w:autoSpaceDE w:val="0"/>
      <w:autoSpaceDN w:val="0"/>
      <w:spacing w:before="121" w:after="0" w:line="240" w:lineRule="auto"/>
      <w:ind w:left="820" w:hanging="440"/>
    </w:pPr>
    <w:rPr>
      <w:rFonts w:ascii="Calibri" w:eastAsia="Calibri" w:hAnsi="Calibri" w:cs="Calibri"/>
      <w:b/>
      <w:bCs/>
      <w:lang w:eastAsia="en-US"/>
    </w:rPr>
  </w:style>
  <w:style w:type="paragraph" w:styleId="BodyText">
    <w:name w:val="Body Text"/>
    <w:basedOn w:val="Normal"/>
    <w:link w:val="BodyTextChar"/>
    <w:uiPriority w:val="1"/>
    <w:qFormat/>
    <w:rsid w:val="008F1FF1"/>
    <w:pPr>
      <w:widowControl w:val="0"/>
      <w:autoSpaceDE w:val="0"/>
      <w:autoSpaceDN w:val="0"/>
      <w:spacing w:after="0" w:line="240" w:lineRule="auto"/>
    </w:pPr>
    <w:rPr>
      <w:rFonts w:ascii="Calibri" w:eastAsia="Calibri" w:hAnsi="Calibri" w:cs="Calibri"/>
      <w:lang w:eastAsia="en-US"/>
    </w:rPr>
  </w:style>
  <w:style w:type="character" w:customStyle="1" w:styleId="BodyTextChar">
    <w:name w:val="Body Text Char"/>
    <w:basedOn w:val="DefaultParagraphFont"/>
    <w:link w:val="BodyText"/>
    <w:uiPriority w:val="1"/>
    <w:rsid w:val="008F1FF1"/>
    <w:rPr>
      <w:rFonts w:ascii="Calibri" w:eastAsia="Calibri" w:hAnsi="Calibri" w:cs="Calibri"/>
      <w:lang w:eastAsia="en-US"/>
    </w:rPr>
  </w:style>
  <w:style w:type="paragraph" w:styleId="Title">
    <w:name w:val="Title"/>
    <w:basedOn w:val="Normal"/>
    <w:link w:val="TitleChar"/>
    <w:uiPriority w:val="10"/>
    <w:qFormat/>
    <w:rsid w:val="008F1FF1"/>
    <w:pPr>
      <w:widowControl w:val="0"/>
      <w:autoSpaceDE w:val="0"/>
      <w:autoSpaceDN w:val="0"/>
      <w:spacing w:before="34" w:after="0" w:line="240" w:lineRule="auto"/>
      <w:ind w:left="160"/>
    </w:pPr>
    <w:rPr>
      <w:rFonts w:ascii="Calibri Light" w:eastAsia="Calibri Light" w:hAnsi="Calibri Light" w:cs="Calibri Light"/>
      <w:sz w:val="32"/>
      <w:szCs w:val="32"/>
      <w:lang w:eastAsia="en-US"/>
    </w:rPr>
  </w:style>
  <w:style w:type="character" w:customStyle="1" w:styleId="TitleChar">
    <w:name w:val="Title Char"/>
    <w:basedOn w:val="DefaultParagraphFont"/>
    <w:link w:val="Title"/>
    <w:uiPriority w:val="10"/>
    <w:rsid w:val="008F1FF1"/>
    <w:rPr>
      <w:rFonts w:ascii="Calibri Light" w:eastAsia="Calibri Light" w:hAnsi="Calibri Light" w:cs="Calibri Light"/>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06696">
      <w:bodyDiv w:val="1"/>
      <w:marLeft w:val="0"/>
      <w:marRight w:val="0"/>
      <w:marTop w:val="0"/>
      <w:marBottom w:val="0"/>
      <w:divBdr>
        <w:top w:val="none" w:sz="0" w:space="0" w:color="auto"/>
        <w:left w:val="none" w:sz="0" w:space="0" w:color="auto"/>
        <w:bottom w:val="none" w:sz="0" w:space="0" w:color="auto"/>
        <w:right w:val="none" w:sz="0" w:space="0" w:color="auto"/>
      </w:divBdr>
      <w:divsChild>
        <w:div w:id="996961049">
          <w:marLeft w:val="0"/>
          <w:marRight w:val="0"/>
          <w:marTop w:val="0"/>
          <w:marBottom w:val="0"/>
          <w:divBdr>
            <w:top w:val="none" w:sz="0" w:space="0" w:color="auto"/>
            <w:left w:val="none" w:sz="0" w:space="0" w:color="auto"/>
            <w:bottom w:val="none" w:sz="0" w:space="0" w:color="auto"/>
            <w:right w:val="none" w:sz="0" w:space="0" w:color="auto"/>
          </w:divBdr>
        </w:div>
        <w:div w:id="385687697">
          <w:marLeft w:val="0"/>
          <w:marRight w:val="0"/>
          <w:marTop w:val="0"/>
          <w:marBottom w:val="0"/>
          <w:divBdr>
            <w:top w:val="none" w:sz="0" w:space="0" w:color="auto"/>
            <w:left w:val="none" w:sz="0" w:space="0" w:color="auto"/>
            <w:bottom w:val="none" w:sz="0" w:space="0" w:color="auto"/>
            <w:right w:val="none" w:sz="0" w:space="0" w:color="auto"/>
          </w:divBdr>
        </w:div>
        <w:div w:id="990718868">
          <w:marLeft w:val="0"/>
          <w:marRight w:val="0"/>
          <w:marTop w:val="0"/>
          <w:marBottom w:val="0"/>
          <w:divBdr>
            <w:top w:val="none" w:sz="0" w:space="0" w:color="auto"/>
            <w:left w:val="none" w:sz="0" w:space="0" w:color="auto"/>
            <w:bottom w:val="none" w:sz="0" w:space="0" w:color="auto"/>
            <w:right w:val="none" w:sz="0" w:space="0" w:color="auto"/>
          </w:divBdr>
          <w:divsChild>
            <w:div w:id="1944680419">
              <w:marLeft w:val="0"/>
              <w:marRight w:val="0"/>
              <w:marTop w:val="0"/>
              <w:marBottom w:val="0"/>
              <w:divBdr>
                <w:top w:val="none" w:sz="0" w:space="0" w:color="auto"/>
                <w:left w:val="none" w:sz="0" w:space="0" w:color="auto"/>
                <w:bottom w:val="none" w:sz="0" w:space="0" w:color="auto"/>
                <w:right w:val="none" w:sz="0" w:space="0" w:color="auto"/>
              </w:divBdr>
            </w:div>
            <w:div w:id="1925532546">
              <w:marLeft w:val="0"/>
              <w:marRight w:val="0"/>
              <w:marTop w:val="0"/>
              <w:marBottom w:val="0"/>
              <w:divBdr>
                <w:top w:val="none" w:sz="0" w:space="0" w:color="auto"/>
                <w:left w:val="none" w:sz="0" w:space="0" w:color="auto"/>
                <w:bottom w:val="none" w:sz="0" w:space="0" w:color="auto"/>
                <w:right w:val="none" w:sz="0" w:space="0" w:color="auto"/>
              </w:divBdr>
            </w:div>
            <w:div w:id="1423450108">
              <w:marLeft w:val="0"/>
              <w:marRight w:val="0"/>
              <w:marTop w:val="0"/>
              <w:marBottom w:val="0"/>
              <w:divBdr>
                <w:top w:val="none" w:sz="0" w:space="0" w:color="auto"/>
                <w:left w:val="none" w:sz="0" w:space="0" w:color="auto"/>
                <w:bottom w:val="none" w:sz="0" w:space="0" w:color="auto"/>
                <w:right w:val="none" w:sz="0" w:space="0" w:color="auto"/>
              </w:divBdr>
            </w:div>
            <w:div w:id="337000952">
              <w:marLeft w:val="0"/>
              <w:marRight w:val="0"/>
              <w:marTop w:val="0"/>
              <w:marBottom w:val="0"/>
              <w:divBdr>
                <w:top w:val="none" w:sz="0" w:space="0" w:color="auto"/>
                <w:left w:val="none" w:sz="0" w:space="0" w:color="auto"/>
                <w:bottom w:val="none" w:sz="0" w:space="0" w:color="auto"/>
                <w:right w:val="none" w:sz="0" w:space="0" w:color="auto"/>
              </w:divBdr>
            </w:div>
            <w:div w:id="1205799141">
              <w:marLeft w:val="0"/>
              <w:marRight w:val="0"/>
              <w:marTop w:val="0"/>
              <w:marBottom w:val="0"/>
              <w:divBdr>
                <w:top w:val="none" w:sz="0" w:space="0" w:color="auto"/>
                <w:left w:val="none" w:sz="0" w:space="0" w:color="auto"/>
                <w:bottom w:val="none" w:sz="0" w:space="0" w:color="auto"/>
                <w:right w:val="none" w:sz="0" w:space="0" w:color="auto"/>
              </w:divBdr>
            </w:div>
          </w:divsChild>
        </w:div>
        <w:div w:id="870341556">
          <w:marLeft w:val="0"/>
          <w:marRight w:val="0"/>
          <w:marTop w:val="0"/>
          <w:marBottom w:val="0"/>
          <w:divBdr>
            <w:top w:val="none" w:sz="0" w:space="0" w:color="auto"/>
            <w:left w:val="none" w:sz="0" w:space="0" w:color="auto"/>
            <w:bottom w:val="none" w:sz="0" w:space="0" w:color="auto"/>
            <w:right w:val="none" w:sz="0" w:space="0" w:color="auto"/>
          </w:divBdr>
          <w:divsChild>
            <w:div w:id="2051876461">
              <w:marLeft w:val="0"/>
              <w:marRight w:val="0"/>
              <w:marTop w:val="0"/>
              <w:marBottom w:val="0"/>
              <w:divBdr>
                <w:top w:val="none" w:sz="0" w:space="0" w:color="auto"/>
                <w:left w:val="none" w:sz="0" w:space="0" w:color="auto"/>
                <w:bottom w:val="none" w:sz="0" w:space="0" w:color="auto"/>
                <w:right w:val="none" w:sz="0" w:space="0" w:color="auto"/>
              </w:divBdr>
            </w:div>
            <w:div w:id="1573200723">
              <w:marLeft w:val="0"/>
              <w:marRight w:val="0"/>
              <w:marTop w:val="0"/>
              <w:marBottom w:val="0"/>
              <w:divBdr>
                <w:top w:val="none" w:sz="0" w:space="0" w:color="auto"/>
                <w:left w:val="none" w:sz="0" w:space="0" w:color="auto"/>
                <w:bottom w:val="none" w:sz="0" w:space="0" w:color="auto"/>
                <w:right w:val="none" w:sz="0" w:space="0" w:color="auto"/>
              </w:divBdr>
            </w:div>
            <w:div w:id="328288100">
              <w:marLeft w:val="0"/>
              <w:marRight w:val="0"/>
              <w:marTop w:val="0"/>
              <w:marBottom w:val="0"/>
              <w:divBdr>
                <w:top w:val="none" w:sz="0" w:space="0" w:color="auto"/>
                <w:left w:val="none" w:sz="0" w:space="0" w:color="auto"/>
                <w:bottom w:val="none" w:sz="0" w:space="0" w:color="auto"/>
                <w:right w:val="none" w:sz="0" w:space="0" w:color="auto"/>
              </w:divBdr>
            </w:div>
            <w:div w:id="18712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ko-KR"/>
              <a:t>Donation status</a:t>
            </a:r>
            <a:endParaRPr lang="ko-KR" alt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2021</c:v>
                </c:pt>
              </c:strCache>
            </c:strRef>
          </c:tx>
          <c:spPr>
            <a:solidFill>
              <a:schemeClr val="accent1"/>
            </a:solidFill>
            <a:ln>
              <a:noFill/>
            </a:ln>
            <a:effectLst/>
          </c:spPr>
          <c:invertIfNegative val="0"/>
          <c:cat>
            <c:strRef>
              <c:f>Sheet1!$A$2:$A$3</c:f>
              <c:strCache>
                <c:ptCount val="2"/>
                <c:pt idx="0">
                  <c:v>Individual Donation</c:v>
                </c:pt>
                <c:pt idx="1">
                  <c:v>Corporate donation</c:v>
                </c:pt>
              </c:strCache>
            </c:strRef>
          </c:cat>
          <c:val>
            <c:numRef>
              <c:f>Sheet1!$B$2:$B$3</c:f>
              <c:numCache>
                <c:formatCode>General</c:formatCode>
                <c:ptCount val="2"/>
                <c:pt idx="0">
                  <c:v>2400000</c:v>
                </c:pt>
                <c:pt idx="1">
                  <c:v>52800000</c:v>
                </c:pt>
              </c:numCache>
            </c:numRef>
          </c:val>
          <c:extLst>
            <c:ext xmlns:c16="http://schemas.microsoft.com/office/drawing/2014/chart" uri="{C3380CC4-5D6E-409C-BE32-E72D297353CC}">
              <c16:uniqueId val="{00000000-9AF8-4AAB-B7A2-5836A810953E}"/>
            </c:ext>
          </c:extLst>
        </c:ser>
        <c:ser>
          <c:idx val="1"/>
          <c:order val="1"/>
          <c:tx>
            <c:strRef>
              <c:f>Sheet1!$C$1</c:f>
              <c:strCache>
                <c:ptCount val="1"/>
                <c:pt idx="0">
                  <c:v>2022</c:v>
                </c:pt>
              </c:strCache>
            </c:strRef>
          </c:tx>
          <c:spPr>
            <a:solidFill>
              <a:schemeClr val="accent2"/>
            </a:solidFill>
            <a:ln>
              <a:noFill/>
            </a:ln>
            <a:effectLst/>
          </c:spPr>
          <c:invertIfNegative val="0"/>
          <c:cat>
            <c:strRef>
              <c:f>Sheet1!$A$2:$A$3</c:f>
              <c:strCache>
                <c:ptCount val="2"/>
                <c:pt idx="0">
                  <c:v>Individual Donation</c:v>
                </c:pt>
                <c:pt idx="1">
                  <c:v>Corporate donation</c:v>
                </c:pt>
              </c:strCache>
            </c:strRef>
          </c:cat>
          <c:val>
            <c:numRef>
              <c:f>Sheet1!$C$2:$C$3</c:f>
              <c:numCache>
                <c:formatCode>General</c:formatCode>
                <c:ptCount val="2"/>
                <c:pt idx="0">
                  <c:v>2322944</c:v>
                </c:pt>
                <c:pt idx="1">
                  <c:v>91350000</c:v>
                </c:pt>
              </c:numCache>
            </c:numRef>
          </c:val>
          <c:extLst>
            <c:ext xmlns:c16="http://schemas.microsoft.com/office/drawing/2014/chart" uri="{C3380CC4-5D6E-409C-BE32-E72D297353CC}">
              <c16:uniqueId val="{00000001-9AF8-4AAB-B7A2-5836A810953E}"/>
            </c:ext>
          </c:extLst>
        </c:ser>
        <c:dLbls>
          <c:showLegendKey val="0"/>
          <c:showVal val="0"/>
          <c:showCatName val="0"/>
          <c:showSerName val="0"/>
          <c:showPercent val="0"/>
          <c:showBubbleSize val="0"/>
        </c:dLbls>
        <c:gapWidth val="219"/>
        <c:overlap val="-27"/>
        <c:axId val="278358416"/>
        <c:axId val="278352592"/>
      </c:barChart>
      <c:catAx>
        <c:axId val="27835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52592"/>
        <c:crosses val="autoZero"/>
        <c:auto val="1"/>
        <c:lblAlgn val="ctr"/>
        <c:lblOffset val="100"/>
        <c:noMultiLvlLbl val="0"/>
      </c:catAx>
      <c:valAx>
        <c:axId val="278352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835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4986</Words>
  <Characters>27576</Characters>
  <Application>Microsoft Office Word</Application>
  <DocSecurity>0</DocSecurity>
  <Lines>1532</Lines>
  <Paragraphs>319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Young</dc:creator>
  <cp:lastModifiedBy>Hyeseon Do</cp:lastModifiedBy>
  <cp:revision>6</cp:revision>
  <cp:lastPrinted>2023-03-12T03:42:00Z</cp:lastPrinted>
  <dcterms:created xsi:type="dcterms:W3CDTF">2023-03-12T03:30:00Z</dcterms:created>
  <dcterms:modified xsi:type="dcterms:W3CDTF">2023-03-12T04:34:00Z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7dc6bb0482ce91310a0edc181df5a1f23b487eb6358fa3445b6597769a71c76a</vt:lpwstr>
  </property>
</Properties>
</file>