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08E2" w14:textId="117750CC" w:rsidR="00E644A8" w:rsidRDefault="00E644A8" w:rsidP="00E644A8">
      <w:pPr>
        <w:pStyle w:val="NoSpacing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D79EC6E" wp14:editId="2CCEB80B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 MEETING OF PARTNERS OF THE EAST ASIAN – AUSTRALASIAN FLYWAY PARTNERSHIP</w:t>
      </w:r>
    </w:p>
    <w:p w14:paraId="1A11A689" w14:textId="77777777" w:rsidR="00E644A8" w:rsidRDefault="00E644A8" w:rsidP="00E644A8">
      <w:pPr>
        <w:pStyle w:val="NoSpacing"/>
      </w:pPr>
      <w:r>
        <w:t>Brisbane, Queensland, Australia, 12-17 March 2023</w:t>
      </w:r>
    </w:p>
    <w:p w14:paraId="6D1BBB55" w14:textId="1666B406" w:rsidR="00A264F6" w:rsidRDefault="00A264F6" w:rsidP="00BF7AED">
      <w:pPr>
        <w:spacing w:after="0"/>
      </w:pPr>
    </w:p>
    <w:p w14:paraId="2140DCEB" w14:textId="77777777" w:rsidR="00E644A8" w:rsidRDefault="00E644A8" w:rsidP="00F72C0D">
      <w:pPr>
        <w:spacing w:after="0"/>
        <w:jc w:val="center"/>
        <w:rPr>
          <w:b/>
          <w:sz w:val="28"/>
          <w:szCs w:val="28"/>
        </w:rPr>
      </w:pPr>
    </w:p>
    <w:p w14:paraId="3E13ED30" w14:textId="77777777" w:rsidR="00E644A8" w:rsidRDefault="00E644A8" w:rsidP="00F72C0D">
      <w:pPr>
        <w:spacing w:after="0"/>
        <w:jc w:val="center"/>
        <w:rPr>
          <w:b/>
          <w:sz w:val="28"/>
          <w:szCs w:val="28"/>
        </w:rPr>
      </w:pPr>
    </w:p>
    <w:p w14:paraId="67607783" w14:textId="7BCDD36D" w:rsidR="00BF7AED" w:rsidRDefault="00E644A8" w:rsidP="00F72C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517FD">
        <w:rPr>
          <w:b/>
          <w:sz w:val="28"/>
          <w:szCs w:val="28"/>
        </w:rPr>
        <w:t xml:space="preserve">Document </w:t>
      </w:r>
      <w:r w:rsidR="009371D2">
        <w:rPr>
          <w:b/>
          <w:sz w:val="28"/>
          <w:szCs w:val="28"/>
        </w:rPr>
        <w:t>1</w:t>
      </w:r>
      <w:r w:rsidR="00E9414A">
        <w:rPr>
          <w:b/>
          <w:sz w:val="28"/>
          <w:szCs w:val="28"/>
        </w:rPr>
        <w:t>7</w:t>
      </w:r>
    </w:p>
    <w:p w14:paraId="2234EB1E" w14:textId="77777777" w:rsidR="00291E1F" w:rsidRDefault="00291E1F" w:rsidP="00F72C0D">
      <w:pPr>
        <w:spacing w:after="0"/>
        <w:jc w:val="center"/>
        <w:rPr>
          <w:b/>
          <w:sz w:val="28"/>
          <w:szCs w:val="28"/>
        </w:rPr>
      </w:pPr>
    </w:p>
    <w:p w14:paraId="39C85E1E" w14:textId="7ABA2C0F" w:rsidR="00922920" w:rsidRDefault="00FA1F25" w:rsidP="00F72C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Election and Appointment of </w:t>
      </w:r>
      <w:r w:rsidR="00E9414A">
        <w:rPr>
          <w:b/>
          <w:sz w:val="28"/>
          <w:szCs w:val="28"/>
        </w:rPr>
        <w:t>Finance Sub-Committee</w:t>
      </w:r>
      <w:r w:rsidR="00922920">
        <w:rPr>
          <w:b/>
          <w:sz w:val="28"/>
          <w:szCs w:val="28"/>
        </w:rPr>
        <w:t xml:space="preserve"> </w:t>
      </w:r>
      <w:r w:rsidR="004231D2">
        <w:rPr>
          <w:b/>
          <w:sz w:val="28"/>
          <w:szCs w:val="28"/>
        </w:rPr>
        <w:t>members</w:t>
      </w:r>
    </w:p>
    <w:p w14:paraId="09C0AA1A" w14:textId="75A8C112" w:rsidR="004851FC" w:rsidRPr="00090BC9" w:rsidRDefault="004851FC" w:rsidP="00F72C0D">
      <w:pPr>
        <w:spacing w:after="0"/>
        <w:rPr>
          <w:rFonts w:cstheme="minorHAnsi"/>
        </w:rPr>
      </w:pPr>
    </w:p>
    <w:p w14:paraId="005AF347" w14:textId="614FA6E8" w:rsidR="004851FC" w:rsidRDefault="00FA1F25" w:rsidP="00F72C0D">
      <w:pPr>
        <w:spacing w:after="0"/>
        <w:rPr>
          <w:i/>
        </w:rPr>
      </w:pPr>
      <w:r w:rsidRPr="007E412C">
        <w:rPr>
          <w:i/>
        </w:rPr>
        <w:t>Submitted by</w:t>
      </w:r>
      <w:r>
        <w:rPr>
          <w:i/>
        </w:rPr>
        <w:t xml:space="preserve"> the Secretariat</w:t>
      </w:r>
      <w:r w:rsidR="00BB24B1">
        <w:rPr>
          <w:i/>
        </w:rPr>
        <w:t xml:space="preserve"> </w:t>
      </w:r>
    </w:p>
    <w:p w14:paraId="5996AE2E" w14:textId="59D720DA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03F7743A" w14:textId="2D143632" w:rsidR="00FB0311" w:rsidRDefault="00BD4ED3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170E2A" wp14:editId="7B6FDE53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476750" cy="12668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4853" w14:textId="0FDE1170" w:rsidR="00967F76" w:rsidRDefault="00967F76" w:rsidP="00922920">
                            <w:pPr>
                              <w:spacing w:after="0"/>
                              <w:ind w:left="369" w:hanging="369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923DC">
                              <w:rPr>
                                <w:b/>
                              </w:rPr>
                              <w:t>Summary</w:t>
                            </w:r>
                          </w:p>
                          <w:p w14:paraId="554FA9FD" w14:textId="77777777" w:rsidR="00E644A8" w:rsidRDefault="00E644A8" w:rsidP="00922920">
                            <w:pPr>
                              <w:spacing w:after="0"/>
                              <w:ind w:left="369" w:hanging="369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9678E3" w14:textId="2650C73A" w:rsidR="00967F76" w:rsidRPr="006D1B01" w:rsidRDefault="00967F76" w:rsidP="00922920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D1B01">
                              <w:rPr>
                                <w:rFonts w:cstheme="minorHAnsi"/>
                              </w:rPr>
                              <w:t>In accordance with paragraph 9(</w:t>
                            </w:r>
                            <w:r w:rsidR="00B901CE">
                              <w:rPr>
                                <w:rFonts w:cstheme="minorHAnsi"/>
                              </w:rPr>
                              <w:t>9</w:t>
                            </w:r>
                            <w:r w:rsidRPr="006D1B01">
                              <w:rPr>
                                <w:rFonts w:cstheme="minorHAnsi"/>
                              </w:rPr>
                              <w:t xml:space="preserve">) of the Partnership </w:t>
                            </w:r>
                            <w:r w:rsidR="00B901CE">
                              <w:rPr>
                                <w:rFonts w:cstheme="minorHAnsi"/>
                              </w:rPr>
                              <w:t>D</w:t>
                            </w:r>
                            <w:r w:rsidRPr="006D1B01">
                              <w:rPr>
                                <w:rFonts w:cstheme="minorHAnsi"/>
                              </w:rPr>
                              <w:t xml:space="preserve">ocument and Terms of Reference </w:t>
                            </w:r>
                            <w:r w:rsidR="00535C84">
                              <w:rPr>
                                <w:rFonts w:cstheme="minorHAnsi"/>
                              </w:rPr>
                              <w:t>(</w:t>
                            </w:r>
                            <w:r w:rsidR="008F262E">
                              <w:rPr>
                                <w:rFonts w:cstheme="minorHAnsi"/>
                              </w:rPr>
                              <w:t xml:space="preserve">MOP10. </w:t>
                            </w:r>
                            <w:r w:rsidR="00535C84">
                              <w:rPr>
                                <w:rFonts w:cstheme="minorHAnsi"/>
                              </w:rPr>
                              <w:t>Doc.1.7.2.2</w:t>
                            </w:r>
                            <w:r w:rsidR="008F262E">
                              <w:rPr>
                                <w:rFonts w:cstheme="minorHAnsi"/>
                              </w:rPr>
                              <w:t xml:space="preserve">) </w:t>
                            </w:r>
                            <w:r w:rsidRPr="006D1B01">
                              <w:rPr>
                                <w:rFonts w:cstheme="minorHAnsi"/>
                              </w:rPr>
                              <w:t xml:space="preserve">of the EAAFP </w:t>
                            </w:r>
                            <w:r w:rsidR="00B901CE">
                              <w:rPr>
                                <w:rFonts w:cstheme="minorHAnsi"/>
                              </w:rPr>
                              <w:t>Finance Sub-</w:t>
                            </w:r>
                            <w:r w:rsidRPr="006D1B01">
                              <w:rPr>
                                <w:rFonts w:cstheme="minorHAnsi"/>
                              </w:rPr>
                              <w:t xml:space="preserve">Committee, the Secretariat has prepared guidance for Partners regarding the election of the Chair and members of the </w:t>
                            </w:r>
                            <w:r w:rsidR="00BD4ED3">
                              <w:rPr>
                                <w:rFonts w:cstheme="minorHAnsi"/>
                              </w:rPr>
                              <w:t>Finance Sub-</w:t>
                            </w:r>
                            <w:r w:rsidRPr="006D1B01">
                              <w:rPr>
                                <w:rFonts w:cstheme="minorHAnsi"/>
                              </w:rPr>
                              <w:t xml:space="preserve">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70E2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7.9pt;width:352.5pt;height:99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">
                <v:textbox>
                  <w:txbxContent>
                    <w:p w14:paraId="4C4F4853" w14:textId="0FDE1170" w:rsidR="00967F76" w:rsidRDefault="00967F76" w:rsidP="00922920">
                      <w:pPr>
                        <w:spacing w:after="0"/>
                        <w:ind w:left="369" w:hanging="369"/>
                        <w:contextualSpacing/>
                        <w:jc w:val="center"/>
                        <w:rPr>
                          <w:b/>
                        </w:rPr>
                      </w:pPr>
                      <w:r w:rsidRPr="00D923DC">
                        <w:rPr>
                          <w:b/>
                        </w:rPr>
                        <w:t>Summary</w:t>
                      </w:r>
                    </w:p>
                    <w:p w14:paraId="554FA9FD" w14:textId="77777777" w:rsidR="00E644A8" w:rsidRDefault="00E644A8" w:rsidP="00922920">
                      <w:pPr>
                        <w:spacing w:after="0"/>
                        <w:ind w:left="369" w:hanging="369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189678E3" w14:textId="2650C73A" w:rsidR="00967F76" w:rsidRPr="006D1B01" w:rsidRDefault="00967F76" w:rsidP="00922920">
                      <w:pPr>
                        <w:spacing w:after="0"/>
                        <w:rPr>
                          <w:rFonts w:cstheme="minorHAnsi"/>
                        </w:rPr>
                      </w:pPr>
                      <w:r w:rsidRPr="006D1B01">
                        <w:rPr>
                          <w:rFonts w:cstheme="minorHAnsi"/>
                        </w:rPr>
                        <w:t>In accordance with paragraph 9(</w:t>
                      </w:r>
                      <w:r w:rsidR="00B901CE">
                        <w:rPr>
                          <w:rFonts w:cstheme="minorHAnsi"/>
                        </w:rPr>
                        <w:t>9</w:t>
                      </w:r>
                      <w:r w:rsidRPr="006D1B01">
                        <w:rPr>
                          <w:rFonts w:cstheme="minorHAnsi"/>
                        </w:rPr>
                        <w:t xml:space="preserve">) of the Partnership </w:t>
                      </w:r>
                      <w:r w:rsidR="00B901CE">
                        <w:rPr>
                          <w:rFonts w:cstheme="minorHAnsi"/>
                        </w:rPr>
                        <w:t>D</w:t>
                      </w:r>
                      <w:r w:rsidRPr="006D1B01">
                        <w:rPr>
                          <w:rFonts w:cstheme="minorHAnsi"/>
                        </w:rPr>
                        <w:t xml:space="preserve">ocument and Terms of Reference </w:t>
                      </w:r>
                      <w:r w:rsidR="00535C84">
                        <w:rPr>
                          <w:rFonts w:cstheme="minorHAnsi"/>
                        </w:rPr>
                        <w:t>(</w:t>
                      </w:r>
                      <w:r w:rsidR="008F262E">
                        <w:rPr>
                          <w:rFonts w:cstheme="minorHAnsi"/>
                        </w:rPr>
                        <w:t xml:space="preserve">MOP10. </w:t>
                      </w:r>
                      <w:r w:rsidR="00535C84">
                        <w:rPr>
                          <w:rFonts w:cstheme="minorHAnsi"/>
                        </w:rPr>
                        <w:t>Doc.1.7.2.2</w:t>
                      </w:r>
                      <w:r w:rsidR="008F262E">
                        <w:rPr>
                          <w:rFonts w:cstheme="minorHAnsi"/>
                        </w:rPr>
                        <w:t xml:space="preserve">) </w:t>
                      </w:r>
                      <w:r w:rsidRPr="006D1B01">
                        <w:rPr>
                          <w:rFonts w:cstheme="minorHAnsi"/>
                        </w:rPr>
                        <w:t xml:space="preserve">of the EAAFP </w:t>
                      </w:r>
                      <w:r w:rsidR="00B901CE">
                        <w:rPr>
                          <w:rFonts w:cstheme="minorHAnsi"/>
                        </w:rPr>
                        <w:t>Finance Sub-</w:t>
                      </w:r>
                      <w:r w:rsidRPr="006D1B01">
                        <w:rPr>
                          <w:rFonts w:cstheme="minorHAnsi"/>
                        </w:rPr>
                        <w:t xml:space="preserve">Committee, the Secretariat has prepared guidance for Partners regarding the election of the Chair and members of the </w:t>
                      </w:r>
                      <w:r w:rsidR="00BD4ED3">
                        <w:rPr>
                          <w:rFonts w:cstheme="minorHAnsi"/>
                        </w:rPr>
                        <w:t>Finance Sub-</w:t>
                      </w:r>
                      <w:r w:rsidRPr="006D1B01">
                        <w:rPr>
                          <w:rFonts w:cstheme="minorHAnsi"/>
                        </w:rPr>
                        <w:t xml:space="preserve"> Committee.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1FBF2" w14:textId="77777777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20F97C07" w14:textId="77777777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29A491E1" w14:textId="77777777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44068A69" w14:textId="77777777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28FE3D69" w14:textId="77777777" w:rsidR="00FB0311" w:rsidRDefault="00FB0311" w:rsidP="00FA1F25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1557960C" w14:textId="77777777" w:rsidR="00FB0311" w:rsidRDefault="00FB0311" w:rsidP="00922920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41D1933E" w14:textId="77777777" w:rsidR="006D1B01" w:rsidRDefault="006D1B01" w:rsidP="00922920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27F82BC9" w14:textId="77777777" w:rsidR="00E644A8" w:rsidRDefault="00E644A8" w:rsidP="00922920">
      <w:pPr>
        <w:autoSpaceDE w:val="0"/>
        <w:autoSpaceDN w:val="0"/>
        <w:adjustRightInd w:val="0"/>
        <w:spacing w:after="0"/>
        <w:rPr>
          <w:b/>
          <w:lang w:val="en-GB"/>
        </w:rPr>
      </w:pPr>
    </w:p>
    <w:p w14:paraId="2610E9F0" w14:textId="2A4EB165" w:rsidR="00FA1F25" w:rsidRPr="00232A1E" w:rsidRDefault="00FA1F25" w:rsidP="00922920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GB"/>
        </w:rPr>
      </w:pPr>
      <w:r w:rsidRPr="00232A1E">
        <w:rPr>
          <w:b/>
          <w:lang w:val="en-GB"/>
        </w:rPr>
        <w:t>Introduction</w:t>
      </w:r>
    </w:p>
    <w:p w14:paraId="71EB592D" w14:textId="77777777" w:rsidR="00FA1F25" w:rsidRPr="00232A1E" w:rsidRDefault="00FA1F25" w:rsidP="00BD4ED3">
      <w:pPr>
        <w:autoSpaceDE w:val="0"/>
        <w:autoSpaceDN w:val="0"/>
        <w:adjustRightInd w:val="0"/>
        <w:spacing w:after="0"/>
        <w:jc w:val="both"/>
        <w:rPr>
          <w:rFonts w:cstheme="minorHAnsi"/>
          <w:lang w:val="en-GB"/>
        </w:rPr>
      </w:pPr>
    </w:p>
    <w:p w14:paraId="39714AE1" w14:textId="07AAE23F" w:rsidR="00232A1E" w:rsidRDefault="00FA1F25" w:rsidP="00723387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232A1E">
        <w:rPr>
          <w:rFonts w:cstheme="minorHAnsi"/>
        </w:rPr>
        <w:t xml:space="preserve">This paper </w:t>
      </w:r>
      <w:r w:rsidR="00BB24B1" w:rsidRPr="00232A1E">
        <w:rPr>
          <w:rFonts w:cstheme="minorHAnsi"/>
        </w:rPr>
        <w:t xml:space="preserve">aims </w:t>
      </w:r>
      <w:r w:rsidRPr="00232A1E">
        <w:rPr>
          <w:rFonts w:cstheme="minorHAnsi"/>
        </w:rPr>
        <w:t xml:space="preserve">to assist Partners in their deliberations to elect members to the </w:t>
      </w:r>
      <w:r w:rsidR="00BD4ED3" w:rsidRPr="00232A1E">
        <w:rPr>
          <w:rFonts w:cstheme="minorHAnsi"/>
        </w:rPr>
        <w:t>Finance Sub-</w:t>
      </w:r>
      <w:r w:rsidRPr="00232A1E">
        <w:rPr>
          <w:rFonts w:cstheme="minorHAnsi"/>
        </w:rPr>
        <w:t xml:space="preserve">Committee </w:t>
      </w:r>
      <w:r w:rsidR="00B97797" w:rsidRPr="00232A1E">
        <w:rPr>
          <w:rFonts w:cstheme="minorHAnsi"/>
        </w:rPr>
        <w:t>(</w:t>
      </w:r>
      <w:proofErr w:type="spellStart"/>
      <w:r w:rsidR="00B97797" w:rsidRPr="00232A1E">
        <w:rPr>
          <w:rFonts w:cstheme="minorHAnsi"/>
        </w:rPr>
        <w:t>F</w:t>
      </w:r>
      <w:r w:rsidR="00651955">
        <w:rPr>
          <w:rFonts w:cstheme="minorHAnsi"/>
        </w:rPr>
        <w:t>Sc</w:t>
      </w:r>
      <w:proofErr w:type="spellEnd"/>
      <w:r w:rsidR="00B97797" w:rsidRPr="00232A1E">
        <w:rPr>
          <w:rFonts w:cstheme="minorHAnsi"/>
        </w:rPr>
        <w:t xml:space="preserve">) </w:t>
      </w:r>
      <w:r w:rsidRPr="00232A1E">
        <w:rPr>
          <w:rFonts w:cstheme="minorHAnsi"/>
        </w:rPr>
        <w:t>to serve from the close of the 1</w:t>
      </w:r>
      <w:r w:rsidR="00BD4ED3" w:rsidRPr="00232A1E">
        <w:rPr>
          <w:rFonts w:cstheme="minorHAnsi"/>
        </w:rPr>
        <w:t>1</w:t>
      </w:r>
      <w:r w:rsidRPr="00232A1E">
        <w:rPr>
          <w:rFonts w:cstheme="minorHAnsi"/>
          <w:vertAlign w:val="superscript"/>
        </w:rPr>
        <w:t>th</w:t>
      </w:r>
      <w:r w:rsidRPr="00232A1E">
        <w:rPr>
          <w:rFonts w:cstheme="minorHAnsi"/>
        </w:rPr>
        <w:t xml:space="preserve"> Meeting of Partners to the close of the 1</w:t>
      </w:r>
      <w:r w:rsidR="00BD4ED3" w:rsidRPr="00232A1E">
        <w:rPr>
          <w:rFonts w:cstheme="minorHAnsi"/>
        </w:rPr>
        <w:t>2</w:t>
      </w:r>
      <w:r w:rsidR="00BD4ED3" w:rsidRPr="00232A1E">
        <w:rPr>
          <w:rFonts w:cstheme="minorHAnsi"/>
          <w:vertAlign w:val="superscript"/>
        </w:rPr>
        <w:t>nd</w:t>
      </w:r>
      <w:r w:rsidRPr="00232A1E">
        <w:rPr>
          <w:rFonts w:cstheme="minorHAnsi"/>
        </w:rPr>
        <w:t xml:space="preserve"> Meeting of Partner</w:t>
      </w:r>
      <w:r w:rsidR="00AC1139" w:rsidRPr="00232A1E">
        <w:rPr>
          <w:rFonts w:cstheme="minorHAnsi"/>
        </w:rPr>
        <w:t>s</w:t>
      </w:r>
      <w:r w:rsidR="00232A1E" w:rsidRPr="00232A1E">
        <w:rPr>
          <w:rFonts w:cstheme="minorHAnsi"/>
        </w:rPr>
        <w:t xml:space="preserve">. </w:t>
      </w:r>
    </w:p>
    <w:p w14:paraId="5600DF44" w14:textId="77777777" w:rsidR="00232A1E" w:rsidRDefault="00232A1E" w:rsidP="00723387">
      <w:pPr>
        <w:pStyle w:val="ListParagraph"/>
        <w:spacing w:after="0"/>
        <w:ind w:left="360"/>
        <w:jc w:val="both"/>
        <w:rPr>
          <w:rFonts w:cstheme="minorHAnsi"/>
        </w:rPr>
      </w:pPr>
    </w:p>
    <w:p w14:paraId="270F54C3" w14:textId="5B57849F" w:rsidR="007864C4" w:rsidRDefault="023909B9" w:rsidP="316CCECE">
      <w:pPr>
        <w:pStyle w:val="ListParagraph"/>
        <w:numPr>
          <w:ilvl w:val="0"/>
          <w:numId w:val="10"/>
        </w:numPr>
        <w:spacing w:after="0"/>
        <w:jc w:val="both"/>
      </w:pPr>
      <w:r w:rsidRPr="316CCECE">
        <w:t>I</w:t>
      </w:r>
      <w:r w:rsidR="63313435" w:rsidRPr="316CCECE">
        <w:t xml:space="preserve">n accordance with </w:t>
      </w:r>
      <w:r w:rsidR="75E0342E" w:rsidRPr="316CCECE">
        <w:t>the MOP</w:t>
      </w:r>
      <w:r w:rsidR="008663A0">
        <w:t>9.DD02</w:t>
      </w:r>
      <w:r w:rsidR="75E0342E" w:rsidRPr="316CCECE">
        <w:t xml:space="preserve"> New Terms of Reference of Finance Sub-Committee, </w:t>
      </w:r>
      <w:r w:rsidR="63313435" w:rsidRPr="316CCECE">
        <w:t xml:space="preserve"> document, </w:t>
      </w:r>
      <w:r w:rsidR="1AE2B1E6" w:rsidRPr="316CCECE">
        <w:t xml:space="preserve">the Meeting of Partners shall </w:t>
      </w:r>
      <w:r w:rsidR="005B3240">
        <w:t>elect</w:t>
      </w:r>
      <w:r w:rsidR="1AE2B1E6" w:rsidRPr="316CCECE">
        <w:t xml:space="preserve"> the </w:t>
      </w:r>
      <w:proofErr w:type="spellStart"/>
      <w:r w:rsidR="487AE445" w:rsidRPr="316CCECE">
        <w:t>F</w:t>
      </w:r>
      <w:r w:rsidR="00651955">
        <w:t>Sc</w:t>
      </w:r>
      <w:proofErr w:type="spellEnd"/>
      <w:r w:rsidR="487AE445" w:rsidRPr="316CCECE">
        <w:t xml:space="preserve"> </w:t>
      </w:r>
      <w:r w:rsidR="1AE2B1E6" w:rsidRPr="316CCECE">
        <w:t>members</w:t>
      </w:r>
      <w:r w:rsidR="07BC31FA" w:rsidRPr="316CCECE">
        <w:t>.</w:t>
      </w:r>
      <w:r w:rsidR="1AE2B1E6" w:rsidRPr="316CCECE">
        <w:t xml:space="preserve"> </w:t>
      </w:r>
      <w:r w:rsidR="7AD9FCAF" w:rsidRPr="316CCECE">
        <w:t>A</w:t>
      </w:r>
      <w:r w:rsidR="1AE2B1E6" w:rsidRPr="316CCECE">
        <w:t xml:space="preserve">ny Partner may nominate a qualified expert member. The members do not represent </w:t>
      </w:r>
      <w:r w:rsidR="11075701" w:rsidRPr="316CCECE">
        <w:t>the</w:t>
      </w:r>
      <w:r w:rsidR="1AE2B1E6" w:rsidRPr="316CCECE">
        <w:t xml:space="preserve"> </w:t>
      </w:r>
      <w:proofErr w:type="spellStart"/>
      <w:r w:rsidR="1AE2B1E6" w:rsidRPr="316CCECE">
        <w:t>P</w:t>
      </w:r>
      <w:r w:rsidR="008544A2">
        <w:t>erosons</w:t>
      </w:r>
      <w:proofErr w:type="spellEnd"/>
      <w:r w:rsidR="1AE2B1E6" w:rsidRPr="316CCECE">
        <w:t xml:space="preserve"> that </w:t>
      </w:r>
      <w:r w:rsidR="11075701" w:rsidRPr="316CCECE">
        <w:t>nominates</w:t>
      </w:r>
      <w:r w:rsidR="1AE2B1E6" w:rsidRPr="316CCECE">
        <w:t xml:space="preserve"> them,</w:t>
      </w:r>
      <w:r w:rsidR="487AE445" w:rsidRPr="316CCECE">
        <w:t xml:space="preserve"> but contribute to the working of the working of the </w:t>
      </w:r>
      <w:proofErr w:type="spellStart"/>
      <w:r w:rsidR="487AE445" w:rsidRPr="316CCECE">
        <w:t>F</w:t>
      </w:r>
      <w:r w:rsidR="00651955">
        <w:t>Sc</w:t>
      </w:r>
      <w:proofErr w:type="spellEnd"/>
      <w:r w:rsidR="487AE445" w:rsidRPr="316CCECE">
        <w:t xml:space="preserve"> in their expert capacity. </w:t>
      </w:r>
      <w:r w:rsidR="2DD08CF5" w:rsidRPr="316CCECE">
        <w:t>It states that the general function as follows:</w:t>
      </w:r>
    </w:p>
    <w:p w14:paraId="115C8C9C" w14:textId="77777777" w:rsidR="008544A2" w:rsidRPr="00232A1E" w:rsidRDefault="008544A2" w:rsidP="008544A2">
      <w:pPr>
        <w:spacing w:after="0"/>
        <w:jc w:val="both"/>
      </w:pPr>
    </w:p>
    <w:p w14:paraId="722CA100" w14:textId="3529648D" w:rsidR="005E708B" w:rsidRPr="005E708B" w:rsidRDefault="005E708B" w:rsidP="00723387">
      <w:pPr>
        <w:pStyle w:val="ListParagraph"/>
        <w:jc w:val="both"/>
        <w:rPr>
          <w:rFonts w:cstheme="minorHAnsi"/>
        </w:rPr>
      </w:pPr>
    </w:p>
    <w:p w14:paraId="3E6A1010" w14:textId="7A814392" w:rsidR="005E708B" w:rsidRPr="005E708B" w:rsidRDefault="11075701" w:rsidP="316CCECE">
      <w:pPr>
        <w:pStyle w:val="ListParagraph"/>
        <w:numPr>
          <w:ilvl w:val="1"/>
          <w:numId w:val="10"/>
        </w:numPr>
        <w:ind w:left="990" w:hanging="270"/>
        <w:jc w:val="both"/>
        <w:rPr>
          <w:i/>
          <w:iCs/>
        </w:rPr>
      </w:pPr>
      <w:r w:rsidRPr="316CCECE">
        <w:rPr>
          <w:i/>
          <w:iCs/>
        </w:rPr>
        <w:t xml:space="preserve">advising on the development and implementation of the Partnership’s Financial Plan to achieve its strategic goals, and reporting on progress at MOPs; </w:t>
      </w:r>
    </w:p>
    <w:p w14:paraId="5893FB4A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b. advising on the development and implementation of fundraising strategies and actions; </w:t>
      </w:r>
    </w:p>
    <w:p w14:paraId="75AF5186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c. advise on the structure and functions of a fundraising program for EAAFP, including a potential fundraising unit within the Secretariat; </w:t>
      </w:r>
    </w:p>
    <w:p w14:paraId="03C3AE8D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d. advising on the development and regular updating on a baseline of current Partner funding to support the achievement of EAAFP goals; </w:t>
      </w:r>
    </w:p>
    <w:p w14:paraId="418172A1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e. develop, refine and report on the implementation of the voluntary fee contribution system, or related system for Partner contributions; </w:t>
      </w:r>
    </w:p>
    <w:p w14:paraId="089DB73C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lastRenderedPageBreak/>
        <w:t>f. advise on the development of a supporter program for EAAFP, including best practice from EAAFP Partner and other organizations: advise on proposed funding levels and targets, marketing and maintenance strategies, structural and governance issues and monitoring and reporting;</w:t>
      </w:r>
    </w:p>
    <w:p w14:paraId="32145F77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>g. identify opportunities, targets and strategies for increasing and diversifying the funding base of EAAFP and advise on approaches and actions;</w:t>
      </w:r>
    </w:p>
    <w:p w14:paraId="2C44965E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h. advise on approaches and development of proposals for potential funders, including, but not limited to, foundations, corporations, individuals and bilateral and multilateral development </w:t>
      </w:r>
      <w:proofErr w:type="spellStart"/>
      <w:r w:rsidRPr="005E708B">
        <w:rPr>
          <w:rFonts w:cstheme="minorHAnsi"/>
          <w:i/>
          <w:iCs/>
        </w:rPr>
        <w:t>organisations</w:t>
      </w:r>
      <w:proofErr w:type="spellEnd"/>
      <w:r w:rsidRPr="005E708B">
        <w:rPr>
          <w:rFonts w:cstheme="minorHAnsi"/>
          <w:i/>
          <w:iCs/>
        </w:rPr>
        <w:t>;</w:t>
      </w:r>
    </w:p>
    <w:p w14:paraId="7261C933" w14:textId="77777777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 xml:space="preserve"> </w:t>
      </w:r>
      <w:proofErr w:type="spellStart"/>
      <w:r w:rsidRPr="005E708B">
        <w:rPr>
          <w:rFonts w:cstheme="minorHAnsi"/>
          <w:i/>
          <w:iCs/>
        </w:rPr>
        <w:t>i</w:t>
      </w:r>
      <w:proofErr w:type="spellEnd"/>
      <w:r w:rsidRPr="005E708B">
        <w:rPr>
          <w:rFonts w:cstheme="minorHAnsi"/>
          <w:i/>
          <w:iCs/>
        </w:rPr>
        <w:t xml:space="preserve">. advising on budget re-allocation and priorities, should this be required; j. identify and work with Partners on joint-fundraising activities; </w:t>
      </w:r>
    </w:p>
    <w:p w14:paraId="10035044" w14:textId="60BDF4B6" w:rsidR="005E708B" w:rsidRPr="005E708B" w:rsidRDefault="005E708B" w:rsidP="00723387">
      <w:pPr>
        <w:pStyle w:val="ListParagraph"/>
        <w:jc w:val="both"/>
        <w:rPr>
          <w:rFonts w:cstheme="minorHAnsi"/>
          <w:i/>
          <w:iCs/>
        </w:rPr>
      </w:pPr>
      <w:r w:rsidRPr="005E708B">
        <w:rPr>
          <w:rFonts w:cstheme="minorHAnsi"/>
          <w:i/>
          <w:iCs/>
        </w:rPr>
        <w:t>k. provide advice and guidance and generally work closely with the EAAFP Fundraising Officer.</w:t>
      </w:r>
    </w:p>
    <w:p w14:paraId="15893BD4" w14:textId="77777777" w:rsidR="00372D7E" w:rsidRPr="00372D7E" w:rsidRDefault="00372D7E" w:rsidP="00723387">
      <w:pPr>
        <w:spacing w:after="0"/>
        <w:jc w:val="both"/>
        <w:rPr>
          <w:rFonts w:cstheme="minorHAnsi"/>
          <w:highlight w:val="yellow"/>
        </w:rPr>
      </w:pPr>
    </w:p>
    <w:p w14:paraId="137BF707" w14:textId="017F8EB8" w:rsidR="007864C4" w:rsidRPr="005E708B" w:rsidRDefault="00372D7E" w:rsidP="00723387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DC4F67">
        <w:rPr>
          <w:rFonts w:cstheme="minorHAnsi"/>
        </w:rPr>
        <w:t>The Finance Sub-Committee</w:t>
      </w:r>
      <w:r>
        <w:rPr>
          <w:rFonts w:cstheme="minorHAnsi"/>
        </w:rPr>
        <w:t xml:space="preserve">, </w:t>
      </w:r>
      <w:r w:rsidR="00F30E11">
        <w:rPr>
          <w:rFonts w:cstheme="minorHAnsi"/>
        </w:rPr>
        <w:t>under</w:t>
      </w:r>
      <w:r>
        <w:rPr>
          <w:rFonts w:cstheme="minorHAnsi"/>
        </w:rPr>
        <w:t xml:space="preserve"> the Management Committee</w:t>
      </w:r>
      <w:r w:rsidR="00723387">
        <w:rPr>
          <w:rFonts w:cstheme="minorHAnsi"/>
        </w:rPr>
        <w:t xml:space="preserve"> (MOP10.D3. Organizational Structure of the EAAFP)</w:t>
      </w:r>
      <w:r>
        <w:rPr>
          <w:rFonts w:cstheme="minorHAnsi"/>
        </w:rPr>
        <w:t>,</w:t>
      </w:r>
      <w:r w:rsidRPr="00DC4F67">
        <w:rPr>
          <w:rFonts w:cstheme="minorHAnsi"/>
        </w:rPr>
        <w:t xml:space="preserve"> is to advise on sustainable fundraising to</w:t>
      </w:r>
      <w:r w:rsidRPr="008724C1">
        <w:rPr>
          <w:rFonts w:cstheme="minorHAnsi"/>
          <w:i/>
          <w:iCs/>
        </w:rPr>
        <w:t>, inter alia,</w:t>
      </w:r>
      <w:r w:rsidRPr="00DC4F67">
        <w:rPr>
          <w:rFonts w:cstheme="minorHAnsi"/>
        </w:rPr>
        <w:t xml:space="preserve"> the Meeting of Partners, the Secretariat, any other body set up under the Partnership</w:t>
      </w:r>
      <w:r>
        <w:rPr>
          <w:rFonts w:cstheme="minorHAnsi"/>
        </w:rPr>
        <w:t>,</w:t>
      </w:r>
      <w:r w:rsidRPr="00DC4F67">
        <w:rPr>
          <w:rFonts w:cstheme="minorHAnsi"/>
        </w:rPr>
        <w:t xml:space="preserve"> or any Partner</w:t>
      </w:r>
      <w:r>
        <w:rPr>
          <w:rFonts w:cstheme="minorHAnsi"/>
        </w:rPr>
        <w:t>, and it should fulfill the functions assigned to it by the Meeting of Partners</w:t>
      </w:r>
      <w:r w:rsidR="007864C4">
        <w:rPr>
          <w:rFonts w:cstheme="minorHAnsi"/>
        </w:rPr>
        <w:t>.</w:t>
      </w:r>
    </w:p>
    <w:p w14:paraId="6E0E17B0" w14:textId="1248CA50" w:rsidR="004B711C" w:rsidRDefault="004B711C" w:rsidP="00723387">
      <w:pPr>
        <w:pStyle w:val="ListParagraph"/>
        <w:spacing w:after="0"/>
        <w:ind w:left="360"/>
        <w:jc w:val="both"/>
        <w:rPr>
          <w:rFonts w:cstheme="minorHAnsi"/>
        </w:rPr>
      </w:pPr>
      <w:r w:rsidRPr="004B711C">
        <w:rPr>
          <w:rFonts w:cstheme="minorHAnsi"/>
        </w:rPr>
        <w:t xml:space="preserve"> </w:t>
      </w:r>
    </w:p>
    <w:p w14:paraId="52ECA950" w14:textId="58631662" w:rsidR="00B76388" w:rsidRPr="00AD00C6" w:rsidRDefault="00FB0311" w:rsidP="00723387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D00C6">
        <w:rPr>
          <w:rFonts w:cstheme="minorHAnsi"/>
        </w:rPr>
        <w:t>At MOP</w:t>
      </w:r>
      <w:r w:rsidR="00F30E11" w:rsidRPr="00AD00C6">
        <w:rPr>
          <w:rFonts w:cstheme="minorHAnsi"/>
        </w:rPr>
        <w:t>10</w:t>
      </w:r>
      <w:r w:rsidRPr="00AD00C6">
        <w:rPr>
          <w:rFonts w:cstheme="minorHAnsi"/>
        </w:rPr>
        <w:t xml:space="preserve">, </w:t>
      </w:r>
      <w:r w:rsidR="0002771E">
        <w:rPr>
          <w:rFonts w:cstheme="minorHAnsi"/>
        </w:rPr>
        <w:t xml:space="preserve">the Meeting of Partners </w:t>
      </w:r>
      <w:r w:rsidR="005E708B" w:rsidRPr="00AD00C6">
        <w:rPr>
          <w:rFonts w:cstheme="minorHAnsi"/>
        </w:rPr>
        <w:t>re-</w:t>
      </w:r>
      <w:r w:rsidRPr="00AD00C6">
        <w:rPr>
          <w:rFonts w:cstheme="minorHAnsi"/>
        </w:rPr>
        <w:t xml:space="preserve">elected </w:t>
      </w:r>
      <w:r w:rsidR="00F30E11" w:rsidRPr="00AD00C6">
        <w:rPr>
          <w:rFonts w:cstheme="minorHAnsi"/>
        </w:rPr>
        <w:t xml:space="preserve">Mr. Martin Spray, former </w:t>
      </w:r>
      <w:r w:rsidR="00651955">
        <w:rPr>
          <w:rFonts w:cstheme="minorHAnsi"/>
        </w:rPr>
        <w:t xml:space="preserve">the </w:t>
      </w:r>
      <w:r w:rsidR="00F30E11" w:rsidRPr="00AD00C6">
        <w:rPr>
          <w:rFonts w:cstheme="minorHAnsi"/>
        </w:rPr>
        <w:t xml:space="preserve">Chief Executive of the WWT </w:t>
      </w:r>
      <w:r w:rsidRPr="00AD00C6">
        <w:rPr>
          <w:rFonts w:cstheme="minorHAnsi"/>
        </w:rPr>
        <w:t xml:space="preserve">as Chair of the </w:t>
      </w:r>
      <w:r w:rsidR="00F30E11" w:rsidRPr="00AD00C6">
        <w:rPr>
          <w:rFonts w:cstheme="minorHAnsi"/>
        </w:rPr>
        <w:t>F</w:t>
      </w:r>
      <w:r w:rsidR="00651955">
        <w:rPr>
          <w:rFonts w:cstheme="minorHAnsi"/>
        </w:rPr>
        <w:t>Cs</w:t>
      </w:r>
      <w:r w:rsidR="005E708B" w:rsidRPr="00AD00C6">
        <w:rPr>
          <w:rFonts w:cstheme="minorHAnsi"/>
        </w:rPr>
        <w:t xml:space="preserve">. </w:t>
      </w:r>
    </w:p>
    <w:p w14:paraId="65E3C7A7" w14:textId="77777777" w:rsidR="00913BEB" w:rsidRPr="005E708B" w:rsidRDefault="00913BEB" w:rsidP="00723387">
      <w:pPr>
        <w:spacing w:after="0"/>
        <w:jc w:val="both"/>
        <w:rPr>
          <w:rFonts w:cstheme="minorHAnsi"/>
        </w:rPr>
      </w:pPr>
    </w:p>
    <w:p w14:paraId="4631F031" w14:textId="5749085D" w:rsidR="00AA6174" w:rsidRPr="000C3724" w:rsidRDefault="00FA1F25" w:rsidP="00723387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A6174">
        <w:rPr>
          <w:rFonts w:cstheme="minorHAnsi"/>
        </w:rPr>
        <w:t xml:space="preserve">The Terms of Reference </w:t>
      </w:r>
      <w:r w:rsidR="00EC3C1A">
        <w:rPr>
          <w:rFonts w:cstheme="minorHAnsi"/>
        </w:rPr>
        <w:t>also</w:t>
      </w:r>
      <w:r w:rsidR="00AA6174" w:rsidRPr="00AA6174">
        <w:rPr>
          <w:rFonts w:cstheme="minorHAnsi"/>
        </w:rPr>
        <w:t xml:space="preserve"> states that the </w:t>
      </w:r>
      <w:r w:rsidR="00913BEB" w:rsidRPr="000C3724">
        <w:rPr>
          <w:rFonts w:cstheme="minorHAnsi"/>
        </w:rPr>
        <w:t xml:space="preserve">Committee shall consist of not more than seven (7) </w:t>
      </w:r>
      <w:r w:rsidR="00AD00C6">
        <w:rPr>
          <w:rFonts w:cstheme="minorHAnsi"/>
        </w:rPr>
        <w:t>member</w:t>
      </w:r>
      <w:r w:rsidR="00913BEB" w:rsidRPr="000C3724">
        <w:rPr>
          <w:rFonts w:cstheme="minorHAnsi"/>
        </w:rPr>
        <w:t xml:space="preserve">s, </w:t>
      </w:r>
      <w:r w:rsidR="00AA6174" w:rsidRPr="000C3724">
        <w:rPr>
          <w:rFonts w:cstheme="minorHAnsi"/>
        </w:rPr>
        <w:t xml:space="preserve">to be </w:t>
      </w:r>
      <w:r w:rsidR="00913BEB" w:rsidRPr="000C3724">
        <w:rPr>
          <w:rFonts w:cstheme="minorHAnsi"/>
        </w:rPr>
        <w:t>appointed by the Meeting of the Partners</w:t>
      </w:r>
      <w:r w:rsidR="00EC3C1A">
        <w:rPr>
          <w:rFonts w:cstheme="minorHAnsi"/>
        </w:rPr>
        <w:t>, and</w:t>
      </w:r>
      <w:r w:rsidR="00AD00C6">
        <w:rPr>
          <w:rFonts w:cstheme="minorHAnsi"/>
        </w:rPr>
        <w:t xml:space="preserve"> may identify individuals who can add valuable knowledge and experience and invite them as observers to the </w:t>
      </w:r>
      <w:proofErr w:type="spellStart"/>
      <w:r w:rsidR="00AD00C6">
        <w:rPr>
          <w:rFonts w:cstheme="minorHAnsi"/>
        </w:rPr>
        <w:t>F</w:t>
      </w:r>
      <w:r w:rsidR="00651955">
        <w:rPr>
          <w:rFonts w:cstheme="minorHAnsi"/>
        </w:rPr>
        <w:t>Sc</w:t>
      </w:r>
      <w:proofErr w:type="spellEnd"/>
      <w:r w:rsidR="00EC3C1A">
        <w:rPr>
          <w:rFonts w:cstheme="minorHAnsi"/>
        </w:rPr>
        <w:t xml:space="preserve"> that:</w:t>
      </w:r>
    </w:p>
    <w:p w14:paraId="04D871D4" w14:textId="77777777" w:rsidR="00AA6174" w:rsidRPr="00AA6174" w:rsidRDefault="00AA6174" w:rsidP="00723387">
      <w:pPr>
        <w:pStyle w:val="ListParagraph"/>
        <w:jc w:val="both"/>
        <w:rPr>
          <w:i/>
        </w:rPr>
      </w:pPr>
    </w:p>
    <w:p w14:paraId="256AE906" w14:textId="4622F586" w:rsidR="00913BEB" w:rsidRPr="00AA6174" w:rsidRDefault="00913BEB" w:rsidP="00723387">
      <w:pPr>
        <w:pStyle w:val="ListParagraph"/>
        <w:spacing w:after="0"/>
        <w:ind w:left="709"/>
        <w:jc w:val="both"/>
        <w:rPr>
          <w:i/>
        </w:rPr>
      </w:pPr>
      <w:r w:rsidRPr="00AA6174">
        <w:rPr>
          <w:i/>
        </w:rPr>
        <w:t>The Committee shall consist of:</w:t>
      </w:r>
    </w:p>
    <w:p w14:paraId="117A5E21" w14:textId="0ED355BC" w:rsidR="00913BEB" w:rsidRDefault="00AD00C6" w:rsidP="00723387">
      <w:pPr>
        <w:pStyle w:val="ListNumber3"/>
        <w:numPr>
          <w:ilvl w:val="2"/>
          <w:numId w:val="10"/>
        </w:numPr>
        <w:spacing w:after="0" w:line="259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(7)</w:t>
      </w:r>
      <w:r w:rsidR="00BB747C">
        <w:rPr>
          <w:rFonts w:asciiTheme="minorHAnsi" w:hAnsiTheme="minorHAnsi"/>
          <w:i/>
        </w:rPr>
        <w:t xml:space="preserve"> members with expertise in sustainable finance and </w:t>
      </w:r>
      <w:proofErr w:type="gramStart"/>
      <w:r w:rsidR="00BB747C">
        <w:rPr>
          <w:rFonts w:asciiTheme="minorHAnsi" w:hAnsiTheme="minorHAnsi"/>
          <w:i/>
        </w:rPr>
        <w:t>fundraising;</w:t>
      </w:r>
      <w:proofErr w:type="gramEnd"/>
      <w:r w:rsidR="00BB747C">
        <w:rPr>
          <w:rFonts w:asciiTheme="minorHAnsi" w:hAnsiTheme="minorHAnsi"/>
          <w:i/>
        </w:rPr>
        <w:t xml:space="preserve"> </w:t>
      </w:r>
    </w:p>
    <w:p w14:paraId="5DDB813D" w14:textId="0D73FDCD" w:rsidR="00BB747C" w:rsidRDefault="00BB747C" w:rsidP="00723387">
      <w:pPr>
        <w:pStyle w:val="ListNumber3"/>
        <w:numPr>
          <w:ilvl w:val="2"/>
          <w:numId w:val="10"/>
        </w:numPr>
        <w:spacing w:after="0" w:line="259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EAAFP Fundraising Officer (currently on maternity leave, called as “External Relations Manager”)</w:t>
      </w:r>
      <w:r w:rsidR="000D0A30">
        <w:rPr>
          <w:rFonts w:asciiTheme="minorHAnsi" w:hAnsiTheme="minorHAnsi"/>
          <w:i/>
        </w:rPr>
        <w:t>; and</w:t>
      </w:r>
    </w:p>
    <w:p w14:paraId="6FA77015" w14:textId="08A30779" w:rsidR="000D0A30" w:rsidRPr="00913BEB" w:rsidRDefault="000D0A30" w:rsidP="00723387">
      <w:pPr>
        <w:pStyle w:val="ListNumber3"/>
        <w:numPr>
          <w:ilvl w:val="2"/>
          <w:numId w:val="10"/>
        </w:numPr>
        <w:spacing w:after="0" w:line="259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Observers (can respond to questions but not vote)</w:t>
      </w:r>
    </w:p>
    <w:p w14:paraId="7C60BCE0" w14:textId="77777777" w:rsidR="00922920" w:rsidRPr="00BB747C" w:rsidRDefault="00922920" w:rsidP="00723387">
      <w:pPr>
        <w:spacing w:after="0"/>
        <w:jc w:val="both"/>
        <w:rPr>
          <w:rFonts w:cstheme="minorHAnsi"/>
        </w:rPr>
      </w:pPr>
    </w:p>
    <w:p w14:paraId="4046FF81" w14:textId="4A0803FF" w:rsidR="00913BEB" w:rsidRPr="00AE385C" w:rsidRDefault="00635BD3" w:rsidP="00723387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E385C">
        <w:rPr>
          <w:rFonts w:cstheme="minorHAnsi"/>
        </w:rPr>
        <w:t>Th</w:t>
      </w:r>
      <w:r w:rsidR="00CB74AA" w:rsidRPr="00AE385C">
        <w:rPr>
          <w:rFonts w:cstheme="minorHAnsi"/>
        </w:rPr>
        <w:t>e Terms of Reference state</w:t>
      </w:r>
      <w:r w:rsidRPr="00AE385C">
        <w:rPr>
          <w:rFonts w:cstheme="minorHAnsi"/>
        </w:rPr>
        <w:t xml:space="preserve"> that the term of office of</w:t>
      </w:r>
      <w:r w:rsidR="00BB747C" w:rsidRPr="00AE385C">
        <w:rPr>
          <w:rFonts w:cstheme="minorHAnsi"/>
        </w:rPr>
        <w:t xml:space="preserve"> </w:t>
      </w:r>
      <w:proofErr w:type="spellStart"/>
      <w:r w:rsidR="00BB747C" w:rsidRPr="00AE385C">
        <w:rPr>
          <w:rFonts w:cstheme="minorHAnsi"/>
        </w:rPr>
        <w:t>F</w:t>
      </w:r>
      <w:r w:rsidR="00651955">
        <w:rPr>
          <w:rFonts w:cstheme="minorHAnsi"/>
        </w:rPr>
        <w:t>Sc</w:t>
      </w:r>
      <w:proofErr w:type="spellEnd"/>
      <w:r w:rsidR="00BB747C" w:rsidRPr="00AE385C">
        <w:rPr>
          <w:rFonts w:cstheme="minorHAnsi"/>
        </w:rPr>
        <w:t xml:space="preserve"> does not st</w:t>
      </w:r>
      <w:r w:rsidR="000D0A30">
        <w:rPr>
          <w:rFonts w:cstheme="minorHAnsi"/>
        </w:rPr>
        <w:t>ate</w:t>
      </w:r>
      <w:r w:rsidR="00BB747C" w:rsidRPr="00AE385C">
        <w:rPr>
          <w:rFonts w:cstheme="minorHAnsi"/>
        </w:rPr>
        <w:t xml:space="preserve"> the </w:t>
      </w:r>
      <w:r w:rsidR="009121BE" w:rsidRPr="00AE385C">
        <w:rPr>
          <w:rFonts w:cstheme="minorHAnsi"/>
        </w:rPr>
        <w:t>cycle of the nomination and expiration period.</w:t>
      </w:r>
      <w:r w:rsidR="00AE385C">
        <w:rPr>
          <w:rFonts w:cstheme="minorHAnsi"/>
        </w:rPr>
        <w:t xml:space="preserve"> </w:t>
      </w:r>
      <w:r w:rsidR="0089770D" w:rsidRPr="00AE385C">
        <w:rPr>
          <w:rFonts w:cstheme="minorHAnsi"/>
        </w:rPr>
        <w:t xml:space="preserve">When making appointments, </w:t>
      </w:r>
      <w:r w:rsidR="009F1C91" w:rsidRPr="00AE385C">
        <w:rPr>
          <w:rFonts w:cstheme="minorHAnsi"/>
        </w:rPr>
        <w:t>Partner</w:t>
      </w:r>
      <w:r w:rsidR="00CB74AA" w:rsidRPr="00AE385C">
        <w:rPr>
          <w:rFonts w:cstheme="minorHAnsi"/>
        </w:rPr>
        <w:t>s</w:t>
      </w:r>
      <w:r w:rsidR="009F1C91" w:rsidRPr="00AE385C">
        <w:rPr>
          <w:rFonts w:cstheme="minorHAnsi"/>
        </w:rPr>
        <w:t xml:space="preserve"> are also invited to consider</w:t>
      </w:r>
      <w:r w:rsidR="0089770D" w:rsidRPr="00AE385C">
        <w:rPr>
          <w:rFonts w:cstheme="minorHAnsi"/>
        </w:rPr>
        <w:t xml:space="preserve"> the benefits associated with</w:t>
      </w:r>
      <w:r w:rsidRPr="00AE385C">
        <w:rPr>
          <w:rFonts w:cstheme="minorHAnsi"/>
        </w:rPr>
        <w:t xml:space="preserve"> some continuity of m</w:t>
      </w:r>
      <w:r w:rsidR="00737269" w:rsidRPr="00AE385C">
        <w:rPr>
          <w:rFonts w:cstheme="minorHAnsi"/>
        </w:rPr>
        <w:t>embership rather than have all m</w:t>
      </w:r>
      <w:r w:rsidRPr="00AE385C">
        <w:rPr>
          <w:rFonts w:cstheme="minorHAnsi"/>
        </w:rPr>
        <w:t>embers change at the same time.</w:t>
      </w:r>
    </w:p>
    <w:p w14:paraId="73963B82" w14:textId="77777777" w:rsidR="00635BD3" w:rsidRPr="00635BD3" w:rsidRDefault="00635BD3" w:rsidP="00BD4ED3">
      <w:pPr>
        <w:pStyle w:val="ListParagraph"/>
        <w:spacing w:after="0"/>
        <w:ind w:left="360"/>
        <w:jc w:val="both"/>
        <w:rPr>
          <w:rFonts w:cstheme="minorHAnsi"/>
        </w:rPr>
      </w:pPr>
    </w:p>
    <w:p w14:paraId="2D0C9697" w14:textId="66400B71" w:rsidR="00913BEB" w:rsidRDefault="00913BEB" w:rsidP="00BD4ED3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The Table below indicate</w:t>
      </w:r>
      <w:r w:rsidR="0089770D">
        <w:rPr>
          <w:rFonts w:cstheme="minorHAnsi"/>
        </w:rPr>
        <w:t>s</w:t>
      </w:r>
      <w:r>
        <w:rPr>
          <w:rFonts w:cstheme="minorHAnsi"/>
        </w:rPr>
        <w:t xml:space="preserve"> the Partners currently serving as members of the </w:t>
      </w:r>
      <w:proofErr w:type="spellStart"/>
      <w:r w:rsidR="00AE385C">
        <w:rPr>
          <w:rFonts w:cstheme="minorHAnsi"/>
        </w:rPr>
        <w:t>F</w:t>
      </w:r>
      <w:r w:rsidR="00651955">
        <w:rPr>
          <w:rFonts w:cstheme="minorHAnsi"/>
        </w:rPr>
        <w:t>Sc</w:t>
      </w:r>
      <w:proofErr w:type="spellEnd"/>
      <w:r w:rsidR="009F1C91">
        <w:rPr>
          <w:rFonts w:cstheme="minorHAnsi"/>
        </w:rPr>
        <w:t xml:space="preserve"> and </w:t>
      </w:r>
      <w:r w:rsidR="009A76AC">
        <w:rPr>
          <w:rFonts w:cstheme="minorHAnsi"/>
        </w:rPr>
        <w:t xml:space="preserve">proposed membership of the </w:t>
      </w:r>
      <w:proofErr w:type="spellStart"/>
      <w:r w:rsidR="009A76AC">
        <w:rPr>
          <w:rFonts w:cstheme="minorHAnsi"/>
        </w:rPr>
        <w:t>F</w:t>
      </w:r>
      <w:r w:rsidR="00651955">
        <w:rPr>
          <w:rFonts w:cstheme="minorHAnsi"/>
        </w:rPr>
        <w:t>Sc</w:t>
      </w:r>
      <w:proofErr w:type="spellEnd"/>
      <w:r w:rsidR="009A76AC">
        <w:rPr>
          <w:rFonts w:cstheme="minorHAnsi"/>
        </w:rPr>
        <w:t xml:space="preserve"> until MOP12: </w:t>
      </w:r>
    </w:p>
    <w:p w14:paraId="2CCF12B9" w14:textId="77777777" w:rsidR="00922920" w:rsidRPr="00922920" w:rsidRDefault="00922920" w:rsidP="00BD4ED3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128"/>
        <w:gridCol w:w="1905"/>
        <w:gridCol w:w="1710"/>
        <w:gridCol w:w="1915"/>
        <w:gridCol w:w="2040"/>
      </w:tblGrid>
      <w:tr w:rsidR="003E5D82" w14:paraId="05CEFEA2" w14:textId="4B6F194B" w:rsidTr="0011196D">
        <w:trPr>
          <w:jc w:val="center"/>
        </w:trPr>
        <w:tc>
          <w:tcPr>
            <w:tcW w:w="9143" w:type="dxa"/>
            <w:gridSpan w:val="6"/>
            <w:shd w:val="clear" w:color="auto" w:fill="D9D9D9" w:themeFill="background1" w:themeFillShade="D9"/>
          </w:tcPr>
          <w:p w14:paraId="002A2186" w14:textId="7FFE1276" w:rsidR="003E5D82" w:rsidRDefault="003E5D8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Members of the </w:t>
            </w:r>
            <w:proofErr w:type="spellStart"/>
            <w:r>
              <w:rPr>
                <w:rFonts w:cstheme="minorHAnsi"/>
                <w:b/>
              </w:rPr>
              <w:t>F</w:t>
            </w:r>
            <w:r w:rsidR="00651955">
              <w:rPr>
                <w:rFonts w:cstheme="minorHAnsi"/>
                <w:b/>
              </w:rPr>
              <w:t>Sc</w:t>
            </w:r>
            <w:proofErr w:type="spellEnd"/>
            <w:r>
              <w:rPr>
                <w:rFonts w:cstheme="minorHAnsi"/>
                <w:b/>
              </w:rPr>
              <w:t xml:space="preserve"> Committee</w:t>
            </w:r>
          </w:p>
        </w:tc>
      </w:tr>
      <w:tr w:rsidR="003E5D82" w14:paraId="68899304" w14:textId="568B29D3" w:rsidTr="0011196D">
        <w:trPr>
          <w:jc w:val="center"/>
        </w:trPr>
        <w:tc>
          <w:tcPr>
            <w:tcW w:w="445" w:type="dxa"/>
            <w:shd w:val="clear" w:color="auto" w:fill="D9D9D9" w:themeFill="background1" w:themeFillShade="D9"/>
          </w:tcPr>
          <w:p w14:paraId="5C2E93F2" w14:textId="77777777" w:rsidR="003E5D82" w:rsidRDefault="003E5D82" w:rsidP="00BD4ED3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710B3A68" w14:textId="69BB9421" w:rsidR="003E5D82" w:rsidRPr="00913BEB" w:rsidRDefault="003E5D8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16EE6E36" w14:textId="2FC643D7" w:rsidR="003E5D82" w:rsidRDefault="003E5D8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6CC9267" w14:textId="7E294BD3" w:rsidR="00D10107" w:rsidRPr="00913BEB" w:rsidRDefault="008544A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Nominated by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354D0205" w14:textId="1BDCAF29" w:rsidR="003E5D82" w:rsidRDefault="003E5D8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History </w:t>
            </w:r>
            <w:r w:rsidR="004B2471">
              <w:rPr>
                <w:rFonts w:cstheme="minorHAnsi"/>
                <w:b/>
              </w:rPr>
              <w:t>of</w:t>
            </w:r>
            <w:r>
              <w:rPr>
                <w:rFonts w:cstheme="minorHAnsi"/>
                <w:b/>
              </w:rPr>
              <w:t xml:space="preserve"> the </w:t>
            </w:r>
            <w:proofErr w:type="spellStart"/>
            <w:r>
              <w:rPr>
                <w:rFonts w:cstheme="minorHAnsi"/>
                <w:b/>
              </w:rPr>
              <w:t>F</w:t>
            </w:r>
            <w:r w:rsidR="00651955">
              <w:rPr>
                <w:rFonts w:cstheme="minorHAnsi"/>
                <w:b/>
              </w:rPr>
              <w:t>Sc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14:paraId="33D06ECD" w14:textId="0EE0F4F1" w:rsidR="003E5D82" w:rsidRDefault="003E5D82" w:rsidP="00BD4ED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Continue</w:t>
            </w:r>
            <w:r w:rsidR="00D10107">
              <w:rPr>
                <w:rFonts w:cstheme="minorHAnsi"/>
                <w:b/>
              </w:rPr>
              <w:t xml:space="preserve"> to MOP12</w:t>
            </w:r>
          </w:p>
        </w:tc>
      </w:tr>
      <w:tr w:rsidR="003E5D82" w14:paraId="777EB4B9" w14:textId="12FFDDE7" w:rsidTr="0011196D">
        <w:trPr>
          <w:jc w:val="center"/>
        </w:trPr>
        <w:tc>
          <w:tcPr>
            <w:tcW w:w="445" w:type="dxa"/>
          </w:tcPr>
          <w:p w14:paraId="4F446313" w14:textId="206FA28B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28" w:type="dxa"/>
          </w:tcPr>
          <w:p w14:paraId="00D9E8D5" w14:textId="3494E5E5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</w:t>
            </w:r>
          </w:p>
        </w:tc>
        <w:tc>
          <w:tcPr>
            <w:tcW w:w="1905" w:type="dxa"/>
          </w:tcPr>
          <w:p w14:paraId="1E67BA95" w14:textId="6F7FC591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Martin Spray</w:t>
            </w:r>
          </w:p>
        </w:tc>
        <w:tc>
          <w:tcPr>
            <w:tcW w:w="1710" w:type="dxa"/>
          </w:tcPr>
          <w:p w14:paraId="42C5E7D4" w14:textId="0BCBA438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WWT</w:t>
            </w:r>
          </w:p>
        </w:tc>
        <w:tc>
          <w:tcPr>
            <w:tcW w:w="1915" w:type="dxa"/>
          </w:tcPr>
          <w:p w14:paraId="493CE072" w14:textId="4DCAA8D0" w:rsidR="003E5D82" w:rsidRDefault="003E5D82" w:rsidP="00F05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MOP9 – MOP10 </w:t>
            </w:r>
          </w:p>
          <w:p w14:paraId="26723D8F" w14:textId="21F95040" w:rsidR="003E5D82" w:rsidRDefault="003E5D82" w:rsidP="00BD4ED3">
            <w:pPr>
              <w:jc w:val="both"/>
              <w:rPr>
                <w:rFonts w:cstheme="minorHAnsi"/>
              </w:rPr>
            </w:pPr>
          </w:p>
        </w:tc>
        <w:tc>
          <w:tcPr>
            <w:tcW w:w="2040" w:type="dxa"/>
          </w:tcPr>
          <w:p w14:paraId="7CF0AACD" w14:textId="11AA7B4F" w:rsidR="00D10107" w:rsidRDefault="00D10107" w:rsidP="00F05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E5D82" w14:paraId="0B193E1B" w14:textId="0F09A3DA" w:rsidTr="0011196D">
        <w:trPr>
          <w:trHeight w:val="84"/>
          <w:jc w:val="center"/>
        </w:trPr>
        <w:tc>
          <w:tcPr>
            <w:tcW w:w="445" w:type="dxa"/>
          </w:tcPr>
          <w:p w14:paraId="0C39BDEB" w14:textId="18E81F4F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28" w:type="dxa"/>
          </w:tcPr>
          <w:p w14:paraId="52E81DB5" w14:textId="3B06BAD1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</w:t>
            </w:r>
          </w:p>
        </w:tc>
        <w:tc>
          <w:tcPr>
            <w:tcW w:w="1905" w:type="dxa"/>
          </w:tcPr>
          <w:p w14:paraId="561ECED6" w14:textId="21EF92CB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Alison Russell-French</w:t>
            </w:r>
          </w:p>
        </w:tc>
        <w:tc>
          <w:tcPr>
            <w:tcW w:w="1710" w:type="dxa"/>
          </w:tcPr>
          <w:p w14:paraId="2DC89660" w14:textId="507D9B94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AWSG</w:t>
            </w:r>
          </w:p>
        </w:tc>
        <w:tc>
          <w:tcPr>
            <w:tcW w:w="1915" w:type="dxa"/>
          </w:tcPr>
          <w:p w14:paraId="1268DAA9" w14:textId="40FC75C4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MOP9 – MOP10 </w:t>
            </w:r>
          </w:p>
        </w:tc>
        <w:tc>
          <w:tcPr>
            <w:tcW w:w="2040" w:type="dxa"/>
          </w:tcPr>
          <w:p w14:paraId="7FDFA5DA" w14:textId="1B9F35C8" w:rsidR="003E5D82" w:rsidRDefault="00D10107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E5D82" w14:paraId="4F7D3E4B" w14:textId="37A6F380" w:rsidTr="0011196D">
        <w:trPr>
          <w:jc w:val="center"/>
        </w:trPr>
        <w:tc>
          <w:tcPr>
            <w:tcW w:w="445" w:type="dxa"/>
          </w:tcPr>
          <w:p w14:paraId="5E93C673" w14:textId="1C05CB01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1128" w:type="dxa"/>
          </w:tcPr>
          <w:p w14:paraId="62704548" w14:textId="63C0BA92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</w:t>
            </w:r>
          </w:p>
        </w:tc>
        <w:tc>
          <w:tcPr>
            <w:tcW w:w="1905" w:type="dxa"/>
          </w:tcPr>
          <w:p w14:paraId="6FBB9968" w14:textId="77EC1A97" w:rsidR="003E5D82" w:rsidRDefault="00D10107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Spike Millington</w:t>
            </w:r>
          </w:p>
        </w:tc>
        <w:tc>
          <w:tcPr>
            <w:tcW w:w="1710" w:type="dxa"/>
          </w:tcPr>
          <w:p w14:paraId="081ED332" w14:textId="280DC6CD" w:rsidR="003E5D82" w:rsidRDefault="00D10107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1915" w:type="dxa"/>
          </w:tcPr>
          <w:p w14:paraId="1F4A3EA5" w14:textId="75360A5C" w:rsidR="003E5D82" w:rsidRDefault="004C7DD3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MOP9 – MOP10</w:t>
            </w:r>
          </w:p>
        </w:tc>
        <w:tc>
          <w:tcPr>
            <w:tcW w:w="2040" w:type="dxa"/>
          </w:tcPr>
          <w:p w14:paraId="1AD83F9B" w14:textId="7AFD51EF" w:rsidR="003E5D82" w:rsidRDefault="00D10107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E5D82" w14:paraId="209758B1" w14:textId="1E7DF5CC" w:rsidTr="0011196D">
        <w:trPr>
          <w:jc w:val="center"/>
        </w:trPr>
        <w:tc>
          <w:tcPr>
            <w:tcW w:w="445" w:type="dxa"/>
          </w:tcPr>
          <w:p w14:paraId="3C564849" w14:textId="0A8585BD" w:rsidR="003E5D82" w:rsidRDefault="003E5D82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28" w:type="dxa"/>
          </w:tcPr>
          <w:p w14:paraId="12CBB5AA" w14:textId="1BC70115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</w:t>
            </w:r>
          </w:p>
        </w:tc>
        <w:tc>
          <w:tcPr>
            <w:tcW w:w="1905" w:type="dxa"/>
          </w:tcPr>
          <w:p w14:paraId="0FB1881A" w14:textId="10E70196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Ward Hagemeijer</w:t>
            </w:r>
          </w:p>
        </w:tc>
        <w:tc>
          <w:tcPr>
            <w:tcW w:w="1710" w:type="dxa"/>
          </w:tcPr>
          <w:p w14:paraId="2C04FC3F" w14:textId="42987D2D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WI</w:t>
            </w:r>
          </w:p>
        </w:tc>
        <w:tc>
          <w:tcPr>
            <w:tcW w:w="1915" w:type="dxa"/>
          </w:tcPr>
          <w:p w14:paraId="2A727058" w14:textId="4F43B95B" w:rsidR="003E5D82" w:rsidRDefault="004C7DD3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MOP9 – MOP10</w:t>
            </w:r>
          </w:p>
        </w:tc>
        <w:tc>
          <w:tcPr>
            <w:tcW w:w="2040" w:type="dxa"/>
          </w:tcPr>
          <w:p w14:paraId="614B4A1B" w14:textId="770A9360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3E5D82" w14:paraId="1D6342C1" w14:textId="5C6F860F" w:rsidTr="0011196D">
        <w:trPr>
          <w:jc w:val="center"/>
        </w:trPr>
        <w:tc>
          <w:tcPr>
            <w:tcW w:w="445" w:type="dxa"/>
          </w:tcPr>
          <w:p w14:paraId="35C57225" w14:textId="3E7EAFEE" w:rsidR="003E5D82" w:rsidRDefault="00D10107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28" w:type="dxa"/>
          </w:tcPr>
          <w:p w14:paraId="693243AF" w14:textId="592F666E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  <w:tc>
          <w:tcPr>
            <w:tcW w:w="1905" w:type="dxa"/>
          </w:tcPr>
          <w:p w14:paraId="53ECF212" w14:textId="63C4A42E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Oliver Agoncillo</w:t>
            </w:r>
          </w:p>
        </w:tc>
        <w:tc>
          <w:tcPr>
            <w:tcW w:w="1710" w:type="dxa"/>
          </w:tcPr>
          <w:p w14:paraId="485B890F" w14:textId="3768F562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ACB</w:t>
            </w:r>
          </w:p>
        </w:tc>
        <w:tc>
          <w:tcPr>
            <w:tcW w:w="1915" w:type="dxa"/>
          </w:tcPr>
          <w:p w14:paraId="2FCC1F88" w14:textId="2F166D00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MOP10 </w:t>
            </w:r>
          </w:p>
        </w:tc>
        <w:tc>
          <w:tcPr>
            <w:tcW w:w="2040" w:type="dxa"/>
          </w:tcPr>
          <w:p w14:paraId="3D76D381" w14:textId="5B0A239C" w:rsidR="003E5D82" w:rsidRDefault="008B0B75" w:rsidP="00BD4ED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97AA0" w14:paraId="6363CA49" w14:textId="28C60119" w:rsidTr="0011196D">
        <w:trPr>
          <w:jc w:val="center"/>
        </w:trPr>
        <w:tc>
          <w:tcPr>
            <w:tcW w:w="445" w:type="dxa"/>
          </w:tcPr>
          <w:p w14:paraId="259B1FC0" w14:textId="3B744E54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28" w:type="dxa"/>
          </w:tcPr>
          <w:p w14:paraId="0404AAE7" w14:textId="34A6FA19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Member</w:t>
            </w:r>
          </w:p>
        </w:tc>
        <w:tc>
          <w:tcPr>
            <w:tcW w:w="1905" w:type="dxa"/>
          </w:tcPr>
          <w:p w14:paraId="5C1DE2EC" w14:textId="54252657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Kaoru </w:t>
            </w:r>
            <w:r w:rsidR="0045673A">
              <w:rPr>
                <w:rFonts w:cstheme="minorHAnsi"/>
              </w:rPr>
              <w:t>Sakari</w:t>
            </w:r>
          </w:p>
        </w:tc>
        <w:tc>
          <w:tcPr>
            <w:tcW w:w="1710" w:type="dxa"/>
          </w:tcPr>
          <w:p w14:paraId="421D09A7" w14:textId="5D8D7C24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Japan </w:t>
            </w:r>
          </w:p>
        </w:tc>
        <w:tc>
          <w:tcPr>
            <w:tcW w:w="1915" w:type="dxa"/>
          </w:tcPr>
          <w:p w14:paraId="3C240CD3" w14:textId="2B6D4E5F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MOP9 – MOP10 </w:t>
            </w:r>
          </w:p>
        </w:tc>
        <w:tc>
          <w:tcPr>
            <w:tcW w:w="2040" w:type="dxa"/>
          </w:tcPr>
          <w:p w14:paraId="4F24E942" w14:textId="2210449C" w:rsidR="00F97AA0" w:rsidRDefault="00F97AA0" w:rsidP="00F97A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</w:tr>
      <w:tr w:rsidR="003260A1" w14:paraId="505257FF" w14:textId="77777777" w:rsidTr="0011196D">
        <w:trPr>
          <w:jc w:val="center"/>
        </w:trPr>
        <w:tc>
          <w:tcPr>
            <w:tcW w:w="445" w:type="dxa"/>
          </w:tcPr>
          <w:p w14:paraId="3980BCC4" w14:textId="41C1293E" w:rsidR="003260A1" w:rsidRDefault="00651955" w:rsidP="003260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28" w:type="dxa"/>
          </w:tcPr>
          <w:p w14:paraId="1AD66B92" w14:textId="4AC13E19" w:rsidR="003260A1" w:rsidRDefault="003260A1" w:rsidP="003260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</w:t>
            </w:r>
          </w:p>
        </w:tc>
        <w:tc>
          <w:tcPr>
            <w:tcW w:w="1905" w:type="dxa"/>
          </w:tcPr>
          <w:p w14:paraId="2EE974A4" w14:textId="2F468094" w:rsidR="003260A1" w:rsidRDefault="003260A1" w:rsidP="003260A1">
            <w:pPr>
              <w:jc w:val="both"/>
              <w:rPr>
                <w:rFonts w:cstheme="minorHAnsi"/>
              </w:rPr>
            </w:pPr>
            <w:proofErr w:type="spellStart"/>
            <w:r>
              <w:t>Insoo</w:t>
            </w:r>
            <w:proofErr w:type="spellEnd"/>
            <w:r>
              <w:t xml:space="preserve"> Kim</w:t>
            </w:r>
          </w:p>
        </w:tc>
        <w:tc>
          <w:tcPr>
            <w:tcW w:w="1710" w:type="dxa"/>
          </w:tcPr>
          <w:p w14:paraId="4D2C7EAF" w14:textId="3EBF69B5" w:rsidR="003260A1" w:rsidRDefault="003260A1" w:rsidP="003260A1">
            <w:pPr>
              <w:jc w:val="both"/>
              <w:rPr>
                <w:rFonts w:cstheme="minorHAnsi"/>
              </w:rPr>
            </w:pPr>
            <w:r>
              <w:t xml:space="preserve">Incheon Metropolitan City </w:t>
            </w:r>
          </w:p>
        </w:tc>
        <w:tc>
          <w:tcPr>
            <w:tcW w:w="1915" w:type="dxa"/>
          </w:tcPr>
          <w:p w14:paraId="3F04E7E0" w14:textId="50472A95" w:rsidR="003260A1" w:rsidRDefault="003260A1" w:rsidP="003260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MOP10 </w:t>
            </w:r>
          </w:p>
        </w:tc>
        <w:tc>
          <w:tcPr>
            <w:tcW w:w="2040" w:type="dxa"/>
          </w:tcPr>
          <w:p w14:paraId="3A405038" w14:textId="6E8AAA6C" w:rsidR="003260A1" w:rsidRDefault="00651955" w:rsidP="003260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14:paraId="28FB25F7" w14:textId="77777777" w:rsidR="00913BEB" w:rsidRPr="00913BEB" w:rsidRDefault="00913BEB" w:rsidP="00BD4ED3">
      <w:pPr>
        <w:spacing w:after="0"/>
        <w:jc w:val="both"/>
        <w:rPr>
          <w:rFonts w:cstheme="minorHAnsi"/>
        </w:rPr>
      </w:pPr>
    </w:p>
    <w:p w14:paraId="062FE004" w14:textId="1D50EC53" w:rsidR="009F1C91" w:rsidRPr="007E67A3" w:rsidRDefault="04C20DF5" w:rsidP="316CCECE">
      <w:pPr>
        <w:pStyle w:val="ListParagraph"/>
        <w:numPr>
          <w:ilvl w:val="0"/>
          <w:numId w:val="10"/>
        </w:numPr>
        <w:spacing w:after="0"/>
        <w:jc w:val="both"/>
      </w:pPr>
      <w:r w:rsidRPr="316CCECE">
        <w:t>From the above table</w:t>
      </w:r>
      <w:r w:rsidR="4366F3AA" w:rsidRPr="316CCECE">
        <w:t xml:space="preserve">, </w:t>
      </w:r>
      <w:r w:rsidR="4E1B2B6A" w:rsidRPr="316CCECE">
        <w:t xml:space="preserve">all the current members would like to continue the membership position. </w:t>
      </w:r>
      <w:r w:rsidRPr="316CCECE">
        <w:t xml:space="preserve">The </w:t>
      </w:r>
      <w:r w:rsidR="0F98285C" w:rsidRPr="316CCECE">
        <w:t>Incheon Metropolitan City</w:t>
      </w:r>
      <w:r w:rsidR="003260A1">
        <w:t xml:space="preserve"> </w:t>
      </w:r>
      <w:r w:rsidRPr="316CCECE">
        <w:t xml:space="preserve">will </w:t>
      </w:r>
      <w:r w:rsidR="7495AF15" w:rsidRPr="316CCECE">
        <w:t>continue to</w:t>
      </w:r>
      <w:r w:rsidRPr="316CCECE">
        <w:t xml:space="preserve"> serve </w:t>
      </w:r>
      <w:r w:rsidR="023909B9" w:rsidRPr="316CCECE">
        <w:t>as</w:t>
      </w:r>
      <w:r w:rsidRPr="316CCECE">
        <w:t xml:space="preserve"> </w:t>
      </w:r>
      <w:r w:rsidR="170BADA4" w:rsidRPr="316CCECE">
        <w:t>a</w:t>
      </w:r>
      <w:r w:rsidRPr="316CCECE">
        <w:t xml:space="preserve"> </w:t>
      </w:r>
      <w:r w:rsidR="0F98285C" w:rsidRPr="316CCECE">
        <w:t xml:space="preserve">special member of the </w:t>
      </w:r>
      <w:proofErr w:type="spellStart"/>
      <w:r w:rsidR="0F98285C" w:rsidRPr="316CCECE">
        <w:t>FsC</w:t>
      </w:r>
      <w:proofErr w:type="spellEnd"/>
      <w:r w:rsidRPr="316CCECE">
        <w:t xml:space="preserve"> as </w:t>
      </w:r>
      <w:r w:rsidR="023909B9" w:rsidRPr="316CCECE">
        <w:t xml:space="preserve">a </w:t>
      </w:r>
      <w:r w:rsidRPr="316CCECE">
        <w:t xml:space="preserve">host </w:t>
      </w:r>
      <w:r w:rsidR="0F98285C" w:rsidRPr="316CCECE">
        <w:t>city</w:t>
      </w:r>
      <w:r w:rsidR="023909B9" w:rsidRPr="316CCECE">
        <w:t xml:space="preserve"> of the Secretariat</w:t>
      </w:r>
      <w:r w:rsidRPr="316CCECE">
        <w:t>.</w:t>
      </w:r>
      <w:r w:rsidR="00651955">
        <w:t xml:space="preserve"> One (1)</w:t>
      </w:r>
      <w:r w:rsidR="63FAA027" w:rsidRPr="316CCECE">
        <w:t xml:space="preserve"> </w:t>
      </w:r>
      <w:r w:rsidR="00651955" w:rsidRPr="316CCECE">
        <w:t>vacan</w:t>
      </w:r>
      <w:r w:rsidR="00651955">
        <w:t>cy</w:t>
      </w:r>
      <w:r w:rsidR="63FAA027" w:rsidRPr="316CCECE">
        <w:t xml:space="preserve"> remain</w:t>
      </w:r>
      <w:r w:rsidR="00651955">
        <w:t>s</w:t>
      </w:r>
      <w:r w:rsidR="63FAA027" w:rsidRPr="316CCECE">
        <w:t xml:space="preserve">. </w:t>
      </w:r>
    </w:p>
    <w:p w14:paraId="2934CD60" w14:textId="081B2436" w:rsidR="00922920" w:rsidRDefault="00922920" w:rsidP="00BD4ED3">
      <w:pPr>
        <w:pStyle w:val="ListParagraph"/>
        <w:spacing w:after="0"/>
        <w:jc w:val="both"/>
        <w:rPr>
          <w:rFonts w:cstheme="minorHAnsi"/>
        </w:rPr>
      </w:pPr>
    </w:p>
    <w:p w14:paraId="1448DDAC" w14:textId="77777777" w:rsidR="00B7313E" w:rsidRPr="00922920" w:rsidRDefault="00B7313E" w:rsidP="00BD4ED3">
      <w:pPr>
        <w:pStyle w:val="ListParagraph"/>
        <w:spacing w:after="0"/>
        <w:jc w:val="both"/>
        <w:rPr>
          <w:rFonts w:cstheme="minorHAnsi"/>
        </w:rPr>
      </w:pPr>
    </w:p>
    <w:p w14:paraId="48121145" w14:textId="44BBF044" w:rsidR="009F1C91" w:rsidRPr="00CD6908" w:rsidRDefault="00CB74AA" w:rsidP="00BD4ED3">
      <w:pPr>
        <w:pStyle w:val="ListNumber"/>
        <w:numPr>
          <w:ilvl w:val="0"/>
          <w:numId w:val="0"/>
        </w:numPr>
        <w:spacing w:after="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Decision</w:t>
      </w:r>
    </w:p>
    <w:p w14:paraId="17874D71" w14:textId="77777777" w:rsidR="007E67A3" w:rsidRDefault="007E67A3" w:rsidP="007E67A3">
      <w:pPr>
        <w:spacing w:after="0"/>
        <w:jc w:val="both"/>
        <w:rPr>
          <w:rFonts w:cstheme="minorHAnsi"/>
        </w:rPr>
      </w:pPr>
    </w:p>
    <w:p w14:paraId="471BA884" w14:textId="33A06EB2" w:rsidR="009F1C91" w:rsidRPr="008544A2" w:rsidRDefault="009F1C91" w:rsidP="007E67A3">
      <w:pPr>
        <w:spacing w:after="0"/>
        <w:jc w:val="both"/>
        <w:rPr>
          <w:rFonts w:cstheme="minorHAnsi"/>
        </w:rPr>
      </w:pPr>
      <w:r w:rsidRPr="008544A2">
        <w:rPr>
          <w:rFonts w:cstheme="minorHAnsi"/>
        </w:rPr>
        <w:t xml:space="preserve">Partners at the </w:t>
      </w:r>
      <w:r w:rsidR="007E67A3" w:rsidRPr="008544A2">
        <w:rPr>
          <w:rFonts w:cstheme="minorHAnsi"/>
        </w:rPr>
        <w:t>11</w:t>
      </w:r>
      <w:r w:rsidRPr="008544A2">
        <w:rPr>
          <w:rFonts w:cstheme="minorHAnsi"/>
          <w:vertAlign w:val="superscript"/>
        </w:rPr>
        <w:t>th</w:t>
      </w:r>
      <w:r w:rsidRPr="008544A2">
        <w:rPr>
          <w:rFonts w:cstheme="minorHAnsi"/>
        </w:rPr>
        <w:t xml:space="preserve"> Meeting of the Partners are requested to:</w:t>
      </w:r>
    </w:p>
    <w:p w14:paraId="45D9A301" w14:textId="77777777" w:rsidR="009F1C91" w:rsidRPr="008544A2" w:rsidRDefault="009F1C91" w:rsidP="00BD4ED3">
      <w:pPr>
        <w:pStyle w:val="ListParagraph"/>
        <w:spacing w:after="0"/>
        <w:ind w:left="360"/>
        <w:jc w:val="both"/>
        <w:rPr>
          <w:rFonts w:cstheme="minorHAnsi"/>
        </w:rPr>
      </w:pPr>
    </w:p>
    <w:p w14:paraId="22A92A98" w14:textId="6E9E4377" w:rsidR="009F1C91" w:rsidRPr="008544A2" w:rsidRDefault="00622BCF" w:rsidP="00CD56DE">
      <w:pPr>
        <w:pStyle w:val="ListParagraph"/>
        <w:numPr>
          <w:ilvl w:val="1"/>
          <w:numId w:val="15"/>
        </w:numPr>
        <w:spacing w:after="0"/>
        <w:jc w:val="both"/>
        <w:rPr>
          <w:rFonts w:cstheme="minorHAnsi"/>
        </w:rPr>
      </w:pPr>
      <w:r w:rsidRPr="008544A2">
        <w:rPr>
          <w:rFonts w:cstheme="minorHAnsi"/>
        </w:rPr>
        <w:t xml:space="preserve">Meeting of Partners to nominate </w:t>
      </w:r>
      <w:r w:rsidR="00CD56DE" w:rsidRPr="008544A2">
        <w:rPr>
          <w:rFonts w:cstheme="minorHAnsi"/>
        </w:rPr>
        <w:t xml:space="preserve">additional </w:t>
      </w:r>
      <w:r w:rsidR="0041646A" w:rsidRPr="008544A2">
        <w:rPr>
          <w:rFonts w:cstheme="minorHAnsi"/>
        </w:rPr>
        <w:t>members</w:t>
      </w:r>
      <w:r w:rsidR="00651955" w:rsidRPr="008544A2">
        <w:rPr>
          <w:rFonts w:cstheme="minorHAnsi"/>
        </w:rPr>
        <w:t xml:space="preserve"> and/or observers </w:t>
      </w:r>
      <w:r w:rsidRPr="008544A2">
        <w:rPr>
          <w:rFonts w:cstheme="minorHAnsi"/>
        </w:rPr>
        <w:t xml:space="preserve">the </w:t>
      </w:r>
      <w:r w:rsidR="0041646A" w:rsidRPr="008544A2">
        <w:rPr>
          <w:rFonts w:cstheme="minorHAnsi"/>
        </w:rPr>
        <w:t>Finance Sub-</w:t>
      </w:r>
      <w:r w:rsidR="009F1C91" w:rsidRPr="008544A2">
        <w:rPr>
          <w:rFonts w:cstheme="minorHAnsi"/>
        </w:rPr>
        <w:t>Committee</w:t>
      </w:r>
      <w:r w:rsidRPr="008544A2">
        <w:rPr>
          <w:rFonts w:cstheme="minorHAnsi"/>
        </w:rPr>
        <w:t xml:space="preserve"> </w:t>
      </w:r>
    </w:p>
    <w:p w14:paraId="5738D1EF" w14:textId="77777777" w:rsidR="001304C6" w:rsidRDefault="001304C6" w:rsidP="00BD4ED3">
      <w:pPr>
        <w:pStyle w:val="ListParagraph"/>
        <w:spacing w:after="0"/>
        <w:ind w:left="1080"/>
        <w:jc w:val="both"/>
        <w:rPr>
          <w:rFonts w:cstheme="minorHAnsi"/>
        </w:rPr>
      </w:pPr>
    </w:p>
    <w:p w14:paraId="3C2DCFF2" w14:textId="766EB00F" w:rsidR="009F1C91" w:rsidRPr="009F1C91" w:rsidRDefault="009F1C91" w:rsidP="00CD56DE">
      <w:pPr>
        <w:pStyle w:val="ListParagraph"/>
        <w:spacing w:after="0"/>
        <w:ind w:left="1080"/>
        <w:jc w:val="both"/>
        <w:rPr>
          <w:rFonts w:cstheme="minorHAnsi"/>
        </w:rPr>
      </w:pPr>
    </w:p>
    <w:sectPr w:rsidR="009F1C91" w:rsidRPr="009F1C91" w:rsidSect="00D22A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A899" w14:textId="77777777" w:rsidR="00FF52C9" w:rsidRDefault="00FF52C9" w:rsidP="00647AB3">
      <w:pPr>
        <w:spacing w:after="0" w:line="240" w:lineRule="auto"/>
      </w:pPr>
      <w:r>
        <w:separator/>
      </w:r>
    </w:p>
  </w:endnote>
  <w:endnote w:type="continuationSeparator" w:id="0">
    <w:p w14:paraId="1C5D4AAC" w14:textId="77777777" w:rsidR="00FF52C9" w:rsidRDefault="00FF52C9" w:rsidP="00647AB3">
      <w:pPr>
        <w:spacing w:after="0" w:line="240" w:lineRule="auto"/>
      </w:pPr>
      <w:r>
        <w:continuationSeparator/>
      </w:r>
    </w:p>
  </w:endnote>
  <w:endnote w:type="continuationNotice" w:id="1">
    <w:p w14:paraId="7980A1E2" w14:textId="77777777" w:rsidR="002F43A2" w:rsidRDefault="002F4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967F76" w:rsidRDefault="00967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967F76" w:rsidRDefault="0096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89F3" w14:textId="77777777" w:rsidR="00FF52C9" w:rsidRDefault="00FF52C9" w:rsidP="00647AB3">
      <w:pPr>
        <w:spacing w:after="0" w:line="240" w:lineRule="auto"/>
      </w:pPr>
      <w:r>
        <w:separator/>
      </w:r>
    </w:p>
  </w:footnote>
  <w:footnote w:type="continuationSeparator" w:id="0">
    <w:p w14:paraId="071C0BBF" w14:textId="77777777" w:rsidR="00FF52C9" w:rsidRDefault="00FF52C9" w:rsidP="00647AB3">
      <w:pPr>
        <w:spacing w:after="0" w:line="240" w:lineRule="auto"/>
      </w:pPr>
      <w:r>
        <w:continuationSeparator/>
      </w:r>
    </w:p>
  </w:footnote>
  <w:footnote w:type="continuationNotice" w:id="1">
    <w:p w14:paraId="299E7308" w14:textId="77777777" w:rsidR="002F43A2" w:rsidRDefault="002F4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F9D" w14:textId="76D9557A" w:rsidR="00967F76" w:rsidRPr="00255447" w:rsidRDefault="00967F76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>
      <w:rPr>
        <w:rFonts w:cs="Arial"/>
        <w:i/>
        <w:sz w:val="20"/>
        <w:szCs w:val="20"/>
        <w:lang w:val="de-DE"/>
      </w:rPr>
      <w:t>/MOP1</w:t>
    </w:r>
    <w:r w:rsidR="00E644A8">
      <w:rPr>
        <w:rFonts w:cs="Arial"/>
        <w:i/>
        <w:sz w:val="20"/>
        <w:szCs w:val="20"/>
        <w:lang w:val="de-DE"/>
      </w:rPr>
      <w:t>1</w:t>
    </w:r>
    <w:r>
      <w:rPr>
        <w:rFonts w:cs="Arial"/>
        <w:i/>
        <w:sz w:val="20"/>
        <w:szCs w:val="20"/>
        <w:lang w:val="de-DE"/>
      </w:rPr>
      <w:t>/</w:t>
    </w:r>
    <w:r w:rsidR="00E644A8">
      <w:rPr>
        <w:rFonts w:cs="Arial"/>
        <w:i/>
        <w:sz w:val="20"/>
        <w:szCs w:val="20"/>
        <w:lang w:val="de-DE"/>
      </w:rPr>
      <w:t xml:space="preserve">Draft </w:t>
    </w:r>
    <w:r>
      <w:rPr>
        <w:rFonts w:cs="Arial"/>
        <w:i/>
        <w:sz w:val="20"/>
        <w:szCs w:val="20"/>
        <w:lang w:val="de-DE"/>
      </w:rPr>
      <w:t>Documen</w:t>
    </w:r>
    <w:r w:rsidRPr="009371D2">
      <w:rPr>
        <w:rFonts w:cs="Arial"/>
        <w:i/>
        <w:sz w:val="20"/>
        <w:szCs w:val="20"/>
        <w:lang w:val="de-DE"/>
      </w:rPr>
      <w:t xml:space="preserve">t </w:t>
    </w:r>
    <w:r w:rsidR="009371D2" w:rsidRPr="009371D2">
      <w:rPr>
        <w:rFonts w:cs="Arial"/>
        <w:i/>
        <w:sz w:val="20"/>
        <w:szCs w:val="20"/>
        <w:lang w:val="de-DE"/>
      </w:rPr>
      <w:t>1</w:t>
    </w:r>
    <w:r w:rsidR="00E9414A">
      <w:rPr>
        <w:rFonts w:cs="Arial"/>
        <w:i/>
        <w:sz w:val="20"/>
        <w:szCs w:val="20"/>
        <w:lang w:val="de-DE"/>
      </w:rPr>
      <w:t>7</w:t>
    </w:r>
    <w:r>
      <w:rPr>
        <w:rFonts w:cs="Arial"/>
        <w:i/>
        <w:sz w:val="20"/>
        <w:szCs w:val="20"/>
        <w:lang w:val="de-DE"/>
      </w:rPr>
      <w:tab/>
    </w:r>
    <w:r>
      <w:rPr>
        <w:rFonts w:cs="Arial"/>
        <w:i/>
        <w:sz w:val="20"/>
        <w:szCs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644E"/>
    <w:multiLevelType w:val="hybridMultilevel"/>
    <w:tmpl w:val="7D405F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52ED"/>
    <w:multiLevelType w:val="hybridMultilevel"/>
    <w:tmpl w:val="9950F9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56429"/>
    <w:multiLevelType w:val="multilevel"/>
    <w:tmpl w:val="E898CC72"/>
    <w:numStyleLink w:val="KeyPoints"/>
  </w:abstractNum>
  <w:abstractNum w:abstractNumId="12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3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53351"/>
    <w:multiLevelType w:val="hybridMultilevel"/>
    <w:tmpl w:val="7D875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60968663">
    <w:abstractNumId w:val="4"/>
  </w:num>
  <w:num w:numId="2" w16cid:durableId="1111513684">
    <w:abstractNumId w:val="3"/>
  </w:num>
  <w:num w:numId="3" w16cid:durableId="1655992425">
    <w:abstractNumId w:val="8"/>
  </w:num>
  <w:num w:numId="4" w16cid:durableId="753477101">
    <w:abstractNumId w:val="9"/>
  </w:num>
  <w:num w:numId="5" w16cid:durableId="218367505">
    <w:abstractNumId w:val="6"/>
  </w:num>
  <w:num w:numId="6" w16cid:durableId="1768035613">
    <w:abstractNumId w:val="2"/>
  </w:num>
  <w:num w:numId="7" w16cid:durableId="915670199">
    <w:abstractNumId w:val="5"/>
  </w:num>
  <w:num w:numId="8" w16cid:durableId="1566450101">
    <w:abstractNumId w:val="1"/>
  </w:num>
  <w:num w:numId="9" w16cid:durableId="1289512444">
    <w:abstractNumId w:val="13"/>
  </w:num>
  <w:num w:numId="10" w16cid:durableId="162014414">
    <w:abstractNumId w:val="7"/>
  </w:num>
  <w:num w:numId="11" w16cid:durableId="706877915">
    <w:abstractNumId w:val="12"/>
  </w:num>
  <w:num w:numId="12" w16cid:durableId="2041389720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69" w:hanging="369"/>
        </w:pPr>
        <w:rPr>
          <w:rFonts w:ascii="Arial" w:hAnsi="Arial" w:hint="default"/>
          <w:i w:val="0"/>
          <w:sz w:val="22"/>
        </w:rPr>
      </w:lvl>
    </w:lvlOverride>
  </w:num>
  <w:num w:numId="13" w16cid:durableId="1718621635">
    <w:abstractNumId w:val="0"/>
  </w:num>
  <w:num w:numId="14" w16cid:durableId="925194072">
    <w:abstractNumId w:val="14"/>
  </w:num>
  <w:num w:numId="15" w16cid:durableId="221910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1MDY3NLUwMrI0t7BQ0lEKTi0uzszPAykwrAUAHklAySwAAAA="/>
  </w:docVars>
  <w:rsids>
    <w:rsidRoot w:val="00C33073"/>
    <w:rsid w:val="0002771E"/>
    <w:rsid w:val="00033765"/>
    <w:rsid w:val="0003546B"/>
    <w:rsid w:val="0004170F"/>
    <w:rsid w:val="00041C4D"/>
    <w:rsid w:val="0006020F"/>
    <w:rsid w:val="00077DBB"/>
    <w:rsid w:val="00093672"/>
    <w:rsid w:val="00096CB0"/>
    <w:rsid w:val="000A3F49"/>
    <w:rsid w:val="000A41F6"/>
    <w:rsid w:val="000B159E"/>
    <w:rsid w:val="000C3724"/>
    <w:rsid w:val="000D0A30"/>
    <w:rsid w:val="000D62B8"/>
    <w:rsid w:val="000E619F"/>
    <w:rsid w:val="0011196D"/>
    <w:rsid w:val="001304C6"/>
    <w:rsid w:val="00136DD0"/>
    <w:rsid w:val="0015196D"/>
    <w:rsid w:val="0016367D"/>
    <w:rsid w:val="001719BD"/>
    <w:rsid w:val="00181D63"/>
    <w:rsid w:val="001935DD"/>
    <w:rsid w:val="001D2AE8"/>
    <w:rsid w:val="001E6B84"/>
    <w:rsid w:val="001F13DC"/>
    <w:rsid w:val="001F29FF"/>
    <w:rsid w:val="00220BDD"/>
    <w:rsid w:val="00221E62"/>
    <w:rsid w:val="00232A1E"/>
    <w:rsid w:val="00237EC4"/>
    <w:rsid w:val="00255447"/>
    <w:rsid w:val="00267FBA"/>
    <w:rsid w:val="00291E1F"/>
    <w:rsid w:val="002A4B79"/>
    <w:rsid w:val="002B015C"/>
    <w:rsid w:val="002C17EA"/>
    <w:rsid w:val="002C4EDD"/>
    <w:rsid w:val="002D3304"/>
    <w:rsid w:val="002E2223"/>
    <w:rsid w:val="002F268D"/>
    <w:rsid w:val="002F43A2"/>
    <w:rsid w:val="00306BC2"/>
    <w:rsid w:val="00313092"/>
    <w:rsid w:val="00321881"/>
    <w:rsid w:val="003260A1"/>
    <w:rsid w:val="00341B04"/>
    <w:rsid w:val="003535B0"/>
    <w:rsid w:val="00360502"/>
    <w:rsid w:val="00372D7E"/>
    <w:rsid w:val="00374122"/>
    <w:rsid w:val="00390787"/>
    <w:rsid w:val="00397E23"/>
    <w:rsid w:val="003A4689"/>
    <w:rsid w:val="003B3AAA"/>
    <w:rsid w:val="003C1122"/>
    <w:rsid w:val="003E5D82"/>
    <w:rsid w:val="0041646A"/>
    <w:rsid w:val="0041789B"/>
    <w:rsid w:val="004225D9"/>
    <w:rsid w:val="004231D2"/>
    <w:rsid w:val="004517FD"/>
    <w:rsid w:val="0045673A"/>
    <w:rsid w:val="00461767"/>
    <w:rsid w:val="00462293"/>
    <w:rsid w:val="004803A4"/>
    <w:rsid w:val="00480D54"/>
    <w:rsid w:val="004851FC"/>
    <w:rsid w:val="004911FF"/>
    <w:rsid w:val="004B2471"/>
    <w:rsid w:val="004B711C"/>
    <w:rsid w:val="004C7DD3"/>
    <w:rsid w:val="004D1F26"/>
    <w:rsid w:val="004D6B35"/>
    <w:rsid w:val="00523028"/>
    <w:rsid w:val="0052452B"/>
    <w:rsid w:val="00535C84"/>
    <w:rsid w:val="00547F37"/>
    <w:rsid w:val="00551EF4"/>
    <w:rsid w:val="005768FD"/>
    <w:rsid w:val="005833EF"/>
    <w:rsid w:val="00586030"/>
    <w:rsid w:val="005B3240"/>
    <w:rsid w:val="005B4D94"/>
    <w:rsid w:val="005B5E67"/>
    <w:rsid w:val="005D5599"/>
    <w:rsid w:val="005E708B"/>
    <w:rsid w:val="00614121"/>
    <w:rsid w:val="00622BCF"/>
    <w:rsid w:val="00632CE9"/>
    <w:rsid w:val="00635BD3"/>
    <w:rsid w:val="0064240C"/>
    <w:rsid w:val="00647AB3"/>
    <w:rsid w:val="00651955"/>
    <w:rsid w:val="006577C1"/>
    <w:rsid w:val="00664AB2"/>
    <w:rsid w:val="006D1B01"/>
    <w:rsid w:val="006E2379"/>
    <w:rsid w:val="007016F1"/>
    <w:rsid w:val="00704279"/>
    <w:rsid w:val="00710EFA"/>
    <w:rsid w:val="007122D1"/>
    <w:rsid w:val="007135AB"/>
    <w:rsid w:val="00720E41"/>
    <w:rsid w:val="00723387"/>
    <w:rsid w:val="00737269"/>
    <w:rsid w:val="00752B63"/>
    <w:rsid w:val="007566B3"/>
    <w:rsid w:val="007567B6"/>
    <w:rsid w:val="00777010"/>
    <w:rsid w:val="007846E7"/>
    <w:rsid w:val="007864C4"/>
    <w:rsid w:val="007A3379"/>
    <w:rsid w:val="007C7A38"/>
    <w:rsid w:val="007D46D3"/>
    <w:rsid w:val="007E412C"/>
    <w:rsid w:val="007E41B7"/>
    <w:rsid w:val="007E67A3"/>
    <w:rsid w:val="007F0630"/>
    <w:rsid w:val="007F529F"/>
    <w:rsid w:val="00801CE1"/>
    <w:rsid w:val="00803C84"/>
    <w:rsid w:val="008437D3"/>
    <w:rsid w:val="008544A2"/>
    <w:rsid w:val="008613E0"/>
    <w:rsid w:val="0086308E"/>
    <w:rsid w:val="008663A0"/>
    <w:rsid w:val="00870C6F"/>
    <w:rsid w:val="008724C1"/>
    <w:rsid w:val="00892FC6"/>
    <w:rsid w:val="00894956"/>
    <w:rsid w:val="0089770D"/>
    <w:rsid w:val="008A73B6"/>
    <w:rsid w:val="008B0B75"/>
    <w:rsid w:val="008C2AA5"/>
    <w:rsid w:val="008C66DA"/>
    <w:rsid w:val="008D7663"/>
    <w:rsid w:val="008F262E"/>
    <w:rsid w:val="00901A95"/>
    <w:rsid w:val="009121BE"/>
    <w:rsid w:val="00913BEB"/>
    <w:rsid w:val="009157AC"/>
    <w:rsid w:val="00922920"/>
    <w:rsid w:val="00935D8A"/>
    <w:rsid w:val="009371D2"/>
    <w:rsid w:val="0094218C"/>
    <w:rsid w:val="00953EF6"/>
    <w:rsid w:val="00962F79"/>
    <w:rsid w:val="00967F76"/>
    <w:rsid w:val="00977189"/>
    <w:rsid w:val="0099637F"/>
    <w:rsid w:val="009A76AC"/>
    <w:rsid w:val="009C1ACF"/>
    <w:rsid w:val="009C6BBB"/>
    <w:rsid w:val="009F1C91"/>
    <w:rsid w:val="00A253EB"/>
    <w:rsid w:val="00A264F6"/>
    <w:rsid w:val="00A6202B"/>
    <w:rsid w:val="00A93932"/>
    <w:rsid w:val="00AA6174"/>
    <w:rsid w:val="00AB45EF"/>
    <w:rsid w:val="00AC0864"/>
    <w:rsid w:val="00AC0AD5"/>
    <w:rsid w:val="00AC1139"/>
    <w:rsid w:val="00AC34F7"/>
    <w:rsid w:val="00AD00C6"/>
    <w:rsid w:val="00AD52C9"/>
    <w:rsid w:val="00AE385C"/>
    <w:rsid w:val="00AE4CCE"/>
    <w:rsid w:val="00AF5027"/>
    <w:rsid w:val="00AF5A81"/>
    <w:rsid w:val="00B12A86"/>
    <w:rsid w:val="00B13F89"/>
    <w:rsid w:val="00B14708"/>
    <w:rsid w:val="00B7313E"/>
    <w:rsid w:val="00B76388"/>
    <w:rsid w:val="00B80813"/>
    <w:rsid w:val="00B85170"/>
    <w:rsid w:val="00B901CE"/>
    <w:rsid w:val="00B90C49"/>
    <w:rsid w:val="00B97797"/>
    <w:rsid w:val="00BA4EB9"/>
    <w:rsid w:val="00BB24B1"/>
    <w:rsid w:val="00BB747C"/>
    <w:rsid w:val="00BD4ED3"/>
    <w:rsid w:val="00BE0082"/>
    <w:rsid w:val="00BE1A52"/>
    <w:rsid w:val="00BF222A"/>
    <w:rsid w:val="00BF7AED"/>
    <w:rsid w:val="00C33073"/>
    <w:rsid w:val="00C46A18"/>
    <w:rsid w:val="00C478E3"/>
    <w:rsid w:val="00C9748B"/>
    <w:rsid w:val="00CB74AA"/>
    <w:rsid w:val="00CC1F51"/>
    <w:rsid w:val="00CD54F7"/>
    <w:rsid w:val="00CD56DE"/>
    <w:rsid w:val="00CD69BA"/>
    <w:rsid w:val="00D10107"/>
    <w:rsid w:val="00D156E0"/>
    <w:rsid w:val="00D22ACE"/>
    <w:rsid w:val="00D30562"/>
    <w:rsid w:val="00D358D8"/>
    <w:rsid w:val="00D36BF3"/>
    <w:rsid w:val="00D45CCB"/>
    <w:rsid w:val="00D5774A"/>
    <w:rsid w:val="00D74C94"/>
    <w:rsid w:val="00DA6C65"/>
    <w:rsid w:val="00DB04E4"/>
    <w:rsid w:val="00DC0F2B"/>
    <w:rsid w:val="00DC2325"/>
    <w:rsid w:val="00DC4F67"/>
    <w:rsid w:val="00E036F0"/>
    <w:rsid w:val="00E25933"/>
    <w:rsid w:val="00E40100"/>
    <w:rsid w:val="00E644A8"/>
    <w:rsid w:val="00E65D02"/>
    <w:rsid w:val="00E93594"/>
    <w:rsid w:val="00E9414A"/>
    <w:rsid w:val="00E96CFD"/>
    <w:rsid w:val="00EB0FA7"/>
    <w:rsid w:val="00EB5BAE"/>
    <w:rsid w:val="00EC3C1A"/>
    <w:rsid w:val="00EC7303"/>
    <w:rsid w:val="00EE30F9"/>
    <w:rsid w:val="00EE3DCF"/>
    <w:rsid w:val="00EE6949"/>
    <w:rsid w:val="00EF6A30"/>
    <w:rsid w:val="00EF7A87"/>
    <w:rsid w:val="00F00366"/>
    <w:rsid w:val="00F05ACA"/>
    <w:rsid w:val="00F13D91"/>
    <w:rsid w:val="00F30E11"/>
    <w:rsid w:val="00F37504"/>
    <w:rsid w:val="00F53F9E"/>
    <w:rsid w:val="00F72C0D"/>
    <w:rsid w:val="00F86FFC"/>
    <w:rsid w:val="00F92FBA"/>
    <w:rsid w:val="00F97AA0"/>
    <w:rsid w:val="00FA1F25"/>
    <w:rsid w:val="00FB0311"/>
    <w:rsid w:val="00FC18E8"/>
    <w:rsid w:val="00FD2E00"/>
    <w:rsid w:val="00FE7AB1"/>
    <w:rsid w:val="00FF11D7"/>
    <w:rsid w:val="00FF3E22"/>
    <w:rsid w:val="00FF52C9"/>
    <w:rsid w:val="023909B9"/>
    <w:rsid w:val="04C20DF5"/>
    <w:rsid w:val="07BC31FA"/>
    <w:rsid w:val="07BEAF17"/>
    <w:rsid w:val="0F98285C"/>
    <w:rsid w:val="11075701"/>
    <w:rsid w:val="170BADA4"/>
    <w:rsid w:val="1AE2B1E6"/>
    <w:rsid w:val="1D5A3E0A"/>
    <w:rsid w:val="2DD08CF5"/>
    <w:rsid w:val="316CCECE"/>
    <w:rsid w:val="4366F3AA"/>
    <w:rsid w:val="487AE445"/>
    <w:rsid w:val="4E1B2B6A"/>
    <w:rsid w:val="63313435"/>
    <w:rsid w:val="63FAA027"/>
    <w:rsid w:val="7495AF15"/>
    <w:rsid w:val="75E0342E"/>
    <w:rsid w:val="7AD9FCAF"/>
    <w:rsid w:val="7ED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맑은 고딕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  <w:style w:type="paragraph" w:styleId="NormalWeb">
    <w:name w:val="Normal (Web)"/>
    <w:basedOn w:val="Normal"/>
    <w:uiPriority w:val="99"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F7"/>
    <w:rPr>
      <w:color w:val="954F72" w:themeColor="followedHyperlink"/>
      <w:u w:val="single"/>
    </w:rPr>
  </w:style>
  <w:style w:type="numbering" w:customStyle="1" w:styleId="KeyPoints">
    <w:name w:val="Key Points"/>
    <w:basedOn w:val="NoList"/>
    <w:uiPriority w:val="99"/>
    <w:rsid w:val="00913BEB"/>
    <w:pPr>
      <w:numPr>
        <w:numId w:val="11"/>
      </w:numPr>
    </w:pPr>
  </w:style>
  <w:style w:type="paragraph" w:styleId="ListNumber">
    <w:name w:val="List Number"/>
    <w:basedOn w:val="Normal"/>
    <w:uiPriority w:val="99"/>
    <w:qFormat/>
    <w:rsid w:val="00913BEB"/>
    <w:pPr>
      <w:numPr>
        <w:numId w:val="12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Number2">
    <w:name w:val="List Number 2"/>
    <w:basedOn w:val="Normal"/>
    <w:uiPriority w:val="99"/>
    <w:rsid w:val="00913BEB"/>
    <w:pPr>
      <w:numPr>
        <w:ilvl w:val="1"/>
        <w:numId w:val="12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913BEB"/>
    <w:pPr>
      <w:numPr>
        <w:ilvl w:val="2"/>
        <w:numId w:val="12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913BEB"/>
    <w:pPr>
      <w:numPr>
        <w:ilvl w:val="3"/>
        <w:numId w:val="12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913BEB"/>
    <w:pPr>
      <w:numPr>
        <w:ilvl w:val="4"/>
        <w:numId w:val="12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0C3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478E3"/>
    <w:pPr>
      <w:spacing w:after="0" w:line="240" w:lineRule="auto"/>
    </w:pPr>
  </w:style>
  <w:style w:type="paragraph" w:styleId="NoSpacing">
    <w:name w:val="No Spacing"/>
    <w:uiPriority w:val="1"/>
    <w:qFormat/>
    <w:rsid w:val="00E644A8"/>
    <w:pPr>
      <w:spacing w:after="0" w:line="240" w:lineRule="auto"/>
    </w:pPr>
  </w:style>
  <w:style w:type="character" w:customStyle="1" w:styleId="gmail-apple-converted-space">
    <w:name w:val="gmail-apple-converted-space"/>
    <w:basedOn w:val="DefaultParagraphFont"/>
    <w:rsid w:val="0085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09844-7AFC-4D1F-A0F8-E753A6866BFC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2.xml><?xml version="1.0" encoding="utf-8"?>
<ds:datastoreItem xmlns:ds="http://schemas.openxmlformats.org/officeDocument/2006/customXml" ds:itemID="{4B6A391E-0474-422C-A955-D2B9A372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F4A72-F7C5-4DFF-8611-C7D3578E492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78EB9E5-8C16-426C-8844-5AE1FB2ABF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65768-5A92-4514-B637-5E8BAF17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MOP10 - Doc xx - Election and appointment of MC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MOP10 - Doc xx - Election and appointment of MC</dc:title>
  <dc:subject/>
  <dc:creator>Lew Young</dc:creator>
  <cp:keywords/>
  <dc:description/>
  <cp:lastModifiedBy>Hyeseon Do</cp:lastModifiedBy>
  <cp:revision>3</cp:revision>
  <cp:lastPrinted>2018-10-15T02:30:00Z</cp:lastPrinted>
  <dcterms:created xsi:type="dcterms:W3CDTF">2023-03-07T09:46:00Z</dcterms:created>
  <dcterms:modified xsi:type="dcterms:W3CDTF">2023-03-08T04:55:00Z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{b3eca0a9-e2ef-4518-90fa-3c3acf439a0d}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SubmissionCompleted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GrammarlyDocumentId">
    <vt:lpwstr>51059e39df997e55d8f0519e2b177c057bb8fd770bfa981e5a161b760fda53de</vt:lpwstr>
  </property>
</Properties>
</file>