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0CEE" w14:textId="46857E29" w:rsidR="00A858A3" w:rsidRDefault="00A858A3" w:rsidP="00A858A3">
      <w:pPr>
        <w:pStyle w:val="NoSpacing"/>
      </w:pPr>
      <w:r>
        <w:t>ELEVENTH</w:t>
      </w:r>
      <w:r w:rsidRPr="007A3EC4">
        <w:t xml:space="preserve"> </w:t>
      </w:r>
      <w:r w:rsidRPr="00D81104">
        <w:t>MEETING OF PARTNERS OF THE EAST ASIAN – AUSTRALASIAN FLYWAY PARTNERSHIP</w:t>
      </w:r>
    </w:p>
    <w:p w14:paraId="3A8DCDC4" w14:textId="6167E877" w:rsidR="00C33073" w:rsidRPr="007A3EC4" w:rsidRDefault="00A858A3" w:rsidP="00A858A3">
      <w:pPr>
        <w:pStyle w:val="NoSpacing"/>
      </w:pPr>
      <w:r>
        <w:t>Brisbane, Queensland, Australia, 12</w:t>
      </w:r>
      <w:r w:rsidRPr="007A3EC4">
        <w:t>-</w:t>
      </w:r>
      <w:r>
        <w:t>17</w:t>
      </w:r>
      <w:r w:rsidRPr="007A3EC4">
        <w:t xml:space="preserve"> </w:t>
      </w:r>
      <w:r>
        <w:t>March</w:t>
      </w:r>
      <w:r w:rsidRPr="007A3EC4">
        <w:t xml:space="preserve"> 20</w:t>
      </w:r>
      <w:r>
        <w:t>23</w:t>
      </w:r>
    </w:p>
    <w:p w14:paraId="6D1BBB55" w14:textId="0A45C3B0" w:rsidR="00A264F6" w:rsidRDefault="001D74F9">
      <w:r w:rsidRPr="007A3EC4">
        <w:rPr>
          <w:noProof/>
          <w:lang w:val="en-AU" w:eastAsia="en-AU"/>
        </w:rPr>
        <w:drawing>
          <wp:anchor distT="0" distB="0" distL="114300" distR="114300" simplePos="0" relativeHeight="251663360" behindDoc="1" locked="0" layoutInCell="1" allowOverlap="1" wp14:anchorId="6A4E0D8C" wp14:editId="04A7C3F6">
            <wp:simplePos x="0" y="0"/>
            <wp:positionH relativeFrom="column">
              <wp:posOffset>5250180</wp:posOffset>
            </wp:positionH>
            <wp:positionV relativeFrom="paragraph">
              <wp:posOffset>14605</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p>
    <w:p w14:paraId="736CEABA" w14:textId="77777777" w:rsidR="00773F4B" w:rsidRDefault="00773F4B" w:rsidP="00FC553E">
      <w:pPr>
        <w:spacing w:after="0" w:line="240" w:lineRule="auto"/>
        <w:jc w:val="center"/>
        <w:rPr>
          <w:b/>
          <w:sz w:val="28"/>
          <w:szCs w:val="28"/>
        </w:rPr>
      </w:pPr>
    </w:p>
    <w:p w14:paraId="2E7A2391" w14:textId="77777777" w:rsidR="000B410A" w:rsidRDefault="000B410A" w:rsidP="00FC553E">
      <w:pPr>
        <w:spacing w:after="0" w:line="240" w:lineRule="auto"/>
        <w:jc w:val="center"/>
        <w:rPr>
          <w:b/>
          <w:sz w:val="28"/>
          <w:szCs w:val="28"/>
        </w:rPr>
      </w:pPr>
    </w:p>
    <w:p w14:paraId="09462AD0" w14:textId="1EB33018" w:rsidR="005027AC" w:rsidRDefault="00C33073" w:rsidP="000B410A">
      <w:pPr>
        <w:spacing w:after="0" w:line="240" w:lineRule="auto"/>
        <w:jc w:val="center"/>
        <w:rPr>
          <w:b/>
          <w:sz w:val="28"/>
          <w:szCs w:val="28"/>
        </w:rPr>
      </w:pPr>
      <w:r w:rsidRPr="00A108A2">
        <w:rPr>
          <w:b/>
          <w:sz w:val="28"/>
          <w:szCs w:val="28"/>
        </w:rPr>
        <w:t>D</w:t>
      </w:r>
      <w:r w:rsidR="00645456" w:rsidRPr="00A108A2">
        <w:rPr>
          <w:b/>
          <w:sz w:val="28"/>
          <w:szCs w:val="28"/>
        </w:rPr>
        <w:t xml:space="preserve">raft Decision </w:t>
      </w:r>
      <w:r w:rsidR="00A661B3">
        <w:rPr>
          <w:b/>
          <w:sz w:val="28"/>
          <w:szCs w:val="28"/>
        </w:rPr>
        <w:t>1</w:t>
      </w:r>
    </w:p>
    <w:p w14:paraId="4E929B6C" w14:textId="046AC274" w:rsidR="00036F0D" w:rsidRDefault="003258BB" w:rsidP="002341DB">
      <w:pPr>
        <w:spacing w:after="0"/>
        <w:jc w:val="center"/>
        <w:rPr>
          <w:b/>
          <w:sz w:val="28"/>
          <w:szCs w:val="28"/>
        </w:rPr>
      </w:pPr>
      <w:r w:rsidRPr="003258BB">
        <w:rPr>
          <w:b/>
          <w:sz w:val="28"/>
          <w:szCs w:val="28"/>
        </w:rPr>
        <w:t>CEPA Action Plan 2023 – 2028</w:t>
      </w:r>
    </w:p>
    <w:p w14:paraId="63EBE08A" w14:textId="522299D7" w:rsidR="00FD4293" w:rsidRDefault="00FD4293" w:rsidP="002341DB">
      <w:pPr>
        <w:spacing w:after="0"/>
      </w:pPr>
    </w:p>
    <w:p w14:paraId="75E04636" w14:textId="3329F375" w:rsidR="001E739A" w:rsidRPr="002341DB" w:rsidRDefault="00FD4293" w:rsidP="002341DB">
      <w:pPr>
        <w:spacing w:after="0"/>
      </w:pPr>
      <w:r w:rsidRPr="00FC553E">
        <w:rPr>
          <w:i/>
        </w:rPr>
        <w:t xml:space="preserve">Submitted by </w:t>
      </w:r>
      <w:r w:rsidR="003258BB" w:rsidRPr="003258BB">
        <w:rPr>
          <w:i/>
        </w:rPr>
        <w:t xml:space="preserve">the United States on behalf of the CEPA Working Group.  </w:t>
      </w:r>
    </w:p>
    <w:p w14:paraId="26F9913A" w14:textId="7F0D3B5D" w:rsidR="00FC553E" w:rsidRDefault="00FC553E" w:rsidP="002341DB">
      <w:pPr>
        <w:spacing w:after="0"/>
      </w:pPr>
    </w:p>
    <w:p w14:paraId="19FF217E" w14:textId="39AB655B" w:rsidR="00036F0D" w:rsidRPr="008720F8" w:rsidRDefault="00C47AF6" w:rsidP="002341DB">
      <w:pPr>
        <w:spacing w:after="0"/>
        <w:rPr>
          <w:sz w:val="24"/>
          <w:szCs w:val="24"/>
        </w:rPr>
      </w:pPr>
      <w:r w:rsidRPr="008720F8">
        <w:rPr>
          <w:noProof/>
          <w:sz w:val="24"/>
          <w:szCs w:val="24"/>
        </w:rPr>
        <mc:AlternateContent>
          <mc:Choice Requires="wps">
            <w:drawing>
              <wp:anchor distT="45720" distB="45720" distL="114300" distR="114300" simplePos="0" relativeHeight="251661312" behindDoc="0" locked="0" layoutInCell="1" allowOverlap="1" wp14:anchorId="0ED39167" wp14:editId="7F5C3696">
                <wp:simplePos x="0" y="0"/>
                <wp:positionH relativeFrom="margin">
                  <wp:align>center</wp:align>
                </wp:positionH>
                <wp:positionV relativeFrom="paragraph">
                  <wp:posOffset>46588</wp:posOffset>
                </wp:positionV>
                <wp:extent cx="46672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9525">
                          <a:solidFill>
                            <a:srgbClr val="000000"/>
                          </a:solidFill>
                          <a:miter lim="800000"/>
                          <a:headEnd/>
                          <a:tailEnd/>
                        </a:ln>
                      </wps:spPr>
                      <wps:txbx>
                        <w:txbxContent>
                          <w:p w14:paraId="595F2C35" w14:textId="332FDE2C" w:rsidR="00C47AF6" w:rsidRDefault="00547840" w:rsidP="00547840">
                            <w:pPr>
                              <w:spacing w:after="0"/>
                              <w:jc w:val="center"/>
                            </w:pPr>
                            <w:r w:rsidRPr="00547840">
                              <w:rPr>
                                <w:b/>
                              </w:rPr>
                              <w:t>Summary</w:t>
                            </w:r>
                            <w:r w:rsidR="00C47AF6" w:rsidRPr="00C47AF6">
                              <w:t xml:space="preserve"> </w:t>
                            </w:r>
                          </w:p>
                          <w:p w14:paraId="4E6B0D8F" w14:textId="77777777" w:rsidR="00C47AF6" w:rsidRDefault="00C47AF6" w:rsidP="00547840">
                            <w:pPr>
                              <w:spacing w:after="0"/>
                              <w:jc w:val="center"/>
                            </w:pPr>
                          </w:p>
                          <w:p w14:paraId="10D8C9D1" w14:textId="77777777" w:rsidR="006145B0" w:rsidRPr="00141BC5" w:rsidRDefault="006145B0" w:rsidP="006145B0">
                            <w:pPr>
                              <w:spacing w:after="0"/>
                              <w:rPr>
                                <w:rFonts w:ascii="Arial" w:eastAsia="Times New Roman" w:hAnsi="Arial" w:cs="Arial"/>
                                <w:sz w:val="20"/>
                                <w:szCs w:val="18"/>
                                <w:lang w:val="en-GB"/>
                              </w:rPr>
                            </w:pPr>
                            <w:r w:rsidRPr="00C47AF6">
                              <w:rPr>
                                <w:bCs/>
                              </w:rPr>
                              <w:t xml:space="preserve">An updated Communication, Education, Participation, and Awareness (CEPA) Action Plan 2023 – 2028 has been prepared </w:t>
                            </w:r>
                            <w:r>
                              <w:rPr>
                                <w:bCs/>
                              </w:rPr>
                              <w:t xml:space="preserve">for </w:t>
                            </w:r>
                            <w:r w:rsidRPr="00C47AF6">
                              <w:rPr>
                                <w:bCs/>
                              </w:rPr>
                              <w:t>adoption by the EAAFP. This plan is the CEPA Action Plan for EAAFP and provides guidance to the Partnership on CEPA actions from 2023 – 2028.</w:t>
                            </w:r>
                          </w:p>
                          <w:p w14:paraId="20B0BCC1" w14:textId="452A83A2" w:rsidR="00141BC5" w:rsidRPr="00141BC5" w:rsidRDefault="00141BC5" w:rsidP="006145B0">
                            <w:pPr>
                              <w:spacing w:after="0"/>
                              <w:rPr>
                                <w:rFonts w:ascii="Arial" w:eastAsia="Times New Roman" w:hAnsi="Arial" w:cs="Arial"/>
                                <w:sz w:val="20"/>
                                <w:szCs w:val="18"/>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0;margin-top:3.65pt;width:367.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">
                <v:textbox style="mso-fit-shape-to-text:t">
                  <w:txbxContent>
                    <w:p w14:paraId="595F2C35" w14:textId="332FDE2C" w:rsidR="00C47AF6" w:rsidRDefault="00547840" w:rsidP="00547840">
                      <w:pPr>
                        <w:spacing w:after="0"/>
                        <w:jc w:val="center"/>
                      </w:pPr>
                      <w:r w:rsidRPr="00547840">
                        <w:rPr>
                          <w:b/>
                        </w:rPr>
                        <w:t>Summary</w:t>
                      </w:r>
                      <w:r w:rsidR="00C47AF6" w:rsidRPr="00C47AF6">
                        <w:t xml:space="preserve"> </w:t>
                      </w:r>
                    </w:p>
                    <w:p w14:paraId="4E6B0D8F" w14:textId="77777777" w:rsidR="00C47AF6" w:rsidRDefault="00C47AF6" w:rsidP="00547840">
                      <w:pPr>
                        <w:spacing w:after="0"/>
                        <w:jc w:val="center"/>
                      </w:pPr>
                    </w:p>
                    <w:p w14:paraId="10D8C9D1" w14:textId="77777777" w:rsidR="006145B0" w:rsidRPr="00141BC5" w:rsidRDefault="006145B0" w:rsidP="006145B0">
                      <w:pPr>
                        <w:spacing w:after="0"/>
                        <w:rPr>
                          <w:rFonts w:ascii="Arial" w:eastAsia="Times New Roman" w:hAnsi="Arial" w:cs="Arial"/>
                          <w:sz w:val="20"/>
                          <w:szCs w:val="18"/>
                          <w:lang w:val="en-GB"/>
                        </w:rPr>
                      </w:pPr>
                      <w:r w:rsidRPr="00C47AF6">
                        <w:rPr>
                          <w:bCs/>
                        </w:rPr>
                        <w:t xml:space="preserve">An updated Communication, Education, Participation, and Awareness (CEPA) Action Plan 2023 – 2028 has been prepared </w:t>
                      </w:r>
                      <w:r>
                        <w:rPr>
                          <w:bCs/>
                        </w:rPr>
                        <w:t xml:space="preserve">for </w:t>
                      </w:r>
                      <w:r w:rsidRPr="00C47AF6">
                        <w:rPr>
                          <w:bCs/>
                        </w:rPr>
                        <w:t>adoption by the EAAFP. This plan is the CEPA Action Plan for EAAFP and provides guidance to the Partnership on CEPA actions from 2023 – 2028.</w:t>
                      </w:r>
                    </w:p>
                    <w:p w14:paraId="20B0BCC1" w14:textId="452A83A2" w:rsidR="00141BC5" w:rsidRPr="00141BC5" w:rsidRDefault="00141BC5" w:rsidP="006145B0">
                      <w:pPr>
                        <w:spacing w:after="0"/>
                        <w:rPr>
                          <w:rFonts w:ascii="Arial" w:eastAsia="Times New Roman" w:hAnsi="Arial" w:cs="Arial"/>
                          <w:sz w:val="20"/>
                          <w:szCs w:val="18"/>
                          <w:lang w:val="en-GB"/>
                        </w:rPr>
                      </w:pPr>
                    </w:p>
                  </w:txbxContent>
                </v:textbox>
                <w10:wrap type="square" anchorx="margin"/>
              </v:shape>
            </w:pict>
          </mc:Fallback>
        </mc:AlternateContent>
      </w:r>
    </w:p>
    <w:p w14:paraId="0DA58186" w14:textId="2166A35C" w:rsidR="00036F0D" w:rsidRPr="008720F8" w:rsidRDefault="00036F0D" w:rsidP="002341DB">
      <w:pPr>
        <w:spacing w:after="0"/>
        <w:rPr>
          <w:sz w:val="24"/>
          <w:szCs w:val="24"/>
        </w:rPr>
      </w:pPr>
    </w:p>
    <w:p w14:paraId="7995C44E" w14:textId="0198D3E9" w:rsidR="00036F0D" w:rsidRPr="008720F8" w:rsidRDefault="00036F0D" w:rsidP="002341DB">
      <w:pPr>
        <w:spacing w:after="0"/>
        <w:rPr>
          <w:sz w:val="24"/>
          <w:szCs w:val="24"/>
        </w:rPr>
      </w:pPr>
    </w:p>
    <w:p w14:paraId="5F063097" w14:textId="77777777" w:rsidR="00036F0D" w:rsidRPr="008720F8" w:rsidRDefault="00036F0D" w:rsidP="002341DB">
      <w:pPr>
        <w:spacing w:after="0"/>
        <w:rPr>
          <w:sz w:val="24"/>
          <w:szCs w:val="24"/>
        </w:rPr>
      </w:pPr>
    </w:p>
    <w:p w14:paraId="55EAD126" w14:textId="77777777" w:rsidR="00B05AD4" w:rsidRPr="008720F8" w:rsidRDefault="00B05AD4" w:rsidP="00BE4055">
      <w:pPr>
        <w:spacing w:after="0"/>
        <w:rPr>
          <w:b/>
          <w:sz w:val="24"/>
          <w:szCs w:val="24"/>
        </w:rPr>
      </w:pPr>
    </w:p>
    <w:p w14:paraId="13B79BEB" w14:textId="77777777" w:rsidR="00B05AD4" w:rsidRPr="008720F8" w:rsidRDefault="00B05AD4" w:rsidP="00BE4055">
      <w:pPr>
        <w:spacing w:after="0"/>
        <w:rPr>
          <w:b/>
          <w:sz w:val="24"/>
          <w:szCs w:val="24"/>
        </w:rPr>
      </w:pPr>
    </w:p>
    <w:p w14:paraId="324A8C24" w14:textId="77777777" w:rsidR="003D1F80" w:rsidRPr="008720F8" w:rsidRDefault="003D1F80" w:rsidP="00BE4055">
      <w:pPr>
        <w:spacing w:after="0"/>
        <w:rPr>
          <w:rFonts w:cstheme="minorHAnsi"/>
          <w:b/>
          <w:sz w:val="24"/>
          <w:szCs w:val="24"/>
        </w:rPr>
      </w:pPr>
    </w:p>
    <w:p w14:paraId="17995FEE" w14:textId="77777777" w:rsidR="00C47AF6" w:rsidRPr="00925B05" w:rsidRDefault="00C47AF6" w:rsidP="006D2EA0">
      <w:pPr>
        <w:rPr>
          <w:rFonts w:cstheme="minorHAnsi"/>
          <w:b/>
          <w:sz w:val="24"/>
          <w:szCs w:val="24"/>
        </w:rPr>
      </w:pPr>
    </w:p>
    <w:p w14:paraId="03248E82" w14:textId="082DA548" w:rsidR="001E739A" w:rsidRPr="008B0D35" w:rsidRDefault="006D2EA0" w:rsidP="006D2EA0">
      <w:pPr>
        <w:rPr>
          <w:rFonts w:cstheme="minorHAnsi"/>
          <w:b/>
          <w:sz w:val="24"/>
          <w:szCs w:val="24"/>
        </w:rPr>
      </w:pPr>
      <w:r w:rsidRPr="00925B05">
        <w:rPr>
          <w:rFonts w:cstheme="minorHAnsi"/>
          <w:b/>
          <w:sz w:val="24"/>
          <w:szCs w:val="24"/>
        </w:rPr>
        <w:t>Background</w:t>
      </w:r>
    </w:p>
    <w:p w14:paraId="16F346EA" w14:textId="3530BACE" w:rsidR="00AF3FD2" w:rsidRPr="00925B05" w:rsidRDefault="005659AF" w:rsidP="008720F8">
      <w:pPr>
        <w:pStyle w:val="ListParagraph"/>
        <w:numPr>
          <w:ilvl w:val="0"/>
          <w:numId w:val="33"/>
        </w:numPr>
        <w:rPr>
          <w:rFonts w:cstheme="minorHAnsi"/>
          <w:bCs/>
          <w:sz w:val="24"/>
          <w:szCs w:val="24"/>
        </w:rPr>
      </w:pPr>
      <w:r w:rsidRPr="00925B05">
        <w:rPr>
          <w:rFonts w:cstheme="minorHAnsi"/>
          <w:bCs/>
          <w:sz w:val="24"/>
          <w:szCs w:val="24"/>
        </w:rPr>
        <w:t>At MOP10</w:t>
      </w:r>
      <w:r w:rsidR="00F33EDA" w:rsidRPr="00925B05">
        <w:rPr>
          <w:rFonts w:cstheme="minorHAnsi"/>
          <w:bCs/>
          <w:sz w:val="24"/>
          <w:szCs w:val="24"/>
        </w:rPr>
        <w:t>/</w:t>
      </w:r>
      <w:r w:rsidRPr="00925B05">
        <w:rPr>
          <w:rFonts w:cstheme="minorHAnsi"/>
          <w:bCs/>
          <w:sz w:val="24"/>
          <w:szCs w:val="24"/>
        </w:rPr>
        <w:t xml:space="preserve">DD.1 EAAFP Strategic Plan 2019-2028 was adopted, </w:t>
      </w:r>
      <w:r w:rsidR="00F33EDA" w:rsidRPr="00925B05">
        <w:rPr>
          <w:rFonts w:cstheme="minorHAnsi"/>
          <w:bCs/>
          <w:sz w:val="24"/>
          <w:szCs w:val="24"/>
        </w:rPr>
        <w:t xml:space="preserve">prioritized in </w:t>
      </w:r>
      <w:r w:rsidR="00AF3FD2" w:rsidRPr="00925B05">
        <w:rPr>
          <w:rFonts w:cstheme="minorHAnsi"/>
          <w:bCs/>
          <w:sz w:val="24"/>
          <w:szCs w:val="24"/>
        </w:rPr>
        <w:t xml:space="preserve">Objective 2 </w:t>
      </w:r>
      <w:r w:rsidR="00F33EDA" w:rsidRPr="00925B05">
        <w:rPr>
          <w:rFonts w:cstheme="minorHAnsi"/>
          <w:bCs/>
          <w:sz w:val="24"/>
          <w:szCs w:val="24"/>
        </w:rPr>
        <w:t>to “</w:t>
      </w:r>
      <w:r w:rsidR="00AF3FD2" w:rsidRPr="00925B05">
        <w:rPr>
          <w:rFonts w:cstheme="minorHAnsi"/>
          <w:bCs/>
          <w:sz w:val="24"/>
          <w:szCs w:val="24"/>
        </w:rPr>
        <w:t>Enhance communication, education, participation and awareness (CEPA) of the values of migratory waterbirds and their habitats</w:t>
      </w:r>
      <w:r w:rsidR="00F33EDA" w:rsidRPr="00925B05">
        <w:rPr>
          <w:rFonts w:cstheme="minorHAnsi"/>
          <w:bCs/>
          <w:sz w:val="24"/>
          <w:szCs w:val="24"/>
        </w:rPr>
        <w:t>”</w:t>
      </w:r>
      <w:r w:rsidR="00AF3FD2" w:rsidRPr="00925B05">
        <w:rPr>
          <w:rFonts w:cstheme="minorHAnsi"/>
          <w:bCs/>
          <w:sz w:val="24"/>
          <w:szCs w:val="24"/>
        </w:rPr>
        <w:t xml:space="preserve">. </w:t>
      </w:r>
      <w:r w:rsidR="00F33EDA" w:rsidRPr="00925B05">
        <w:rPr>
          <w:rFonts w:cstheme="minorHAnsi"/>
          <w:bCs/>
          <w:sz w:val="24"/>
          <w:szCs w:val="24"/>
        </w:rPr>
        <w:t xml:space="preserve"> It states the </w:t>
      </w:r>
      <w:r w:rsidR="00AF3FD2" w:rsidRPr="00925B05">
        <w:rPr>
          <w:rFonts w:cstheme="minorHAnsi"/>
          <w:bCs/>
          <w:sz w:val="24"/>
          <w:szCs w:val="24"/>
        </w:rPr>
        <w:t xml:space="preserve">Key Result Areas of Objective 2 </w:t>
      </w:r>
      <w:r w:rsidR="00F33EDA" w:rsidRPr="00925B05">
        <w:rPr>
          <w:rFonts w:cstheme="minorHAnsi"/>
          <w:bCs/>
          <w:sz w:val="24"/>
          <w:szCs w:val="24"/>
        </w:rPr>
        <w:t>“The achievement of the elements in the EAAFP CEPA Action Plan (2019-2024)”.</w:t>
      </w:r>
    </w:p>
    <w:p w14:paraId="3AA39248" w14:textId="77777777" w:rsidR="00033472" w:rsidRPr="008720F8" w:rsidRDefault="00033472" w:rsidP="008720F8">
      <w:pPr>
        <w:pStyle w:val="ListParagraph"/>
        <w:rPr>
          <w:rFonts w:cstheme="minorHAnsi"/>
          <w:bCs/>
          <w:sz w:val="24"/>
          <w:szCs w:val="24"/>
        </w:rPr>
      </w:pPr>
    </w:p>
    <w:p w14:paraId="0C165F03" w14:textId="7ABE0436" w:rsidR="00033472" w:rsidRPr="00925B05" w:rsidRDefault="00F33EDA" w:rsidP="008720F8">
      <w:pPr>
        <w:pStyle w:val="ListParagraph"/>
        <w:numPr>
          <w:ilvl w:val="0"/>
          <w:numId w:val="33"/>
        </w:numPr>
        <w:rPr>
          <w:rFonts w:cstheme="minorHAnsi"/>
          <w:bCs/>
          <w:sz w:val="24"/>
          <w:szCs w:val="24"/>
        </w:rPr>
      </w:pPr>
      <w:r w:rsidRPr="00925B05">
        <w:rPr>
          <w:rFonts w:cstheme="minorHAnsi"/>
          <w:bCs/>
          <w:sz w:val="24"/>
          <w:szCs w:val="24"/>
        </w:rPr>
        <w:t xml:space="preserve">In line with the Strategic Plan 2019-2028, </w:t>
      </w:r>
      <w:r w:rsidR="00AF3FD2" w:rsidRPr="00925B05">
        <w:rPr>
          <w:rFonts w:cstheme="minorHAnsi"/>
          <w:bCs/>
          <w:sz w:val="24"/>
          <w:szCs w:val="24"/>
        </w:rPr>
        <w:t>MOP10</w:t>
      </w:r>
      <w:r w:rsidRPr="00925B05">
        <w:rPr>
          <w:rFonts w:cstheme="minorHAnsi"/>
          <w:bCs/>
          <w:sz w:val="24"/>
          <w:szCs w:val="24"/>
        </w:rPr>
        <w:t>/</w:t>
      </w:r>
      <w:r w:rsidR="00AF3FD2" w:rsidRPr="00925B05">
        <w:rPr>
          <w:rFonts w:cstheme="minorHAnsi"/>
          <w:bCs/>
          <w:sz w:val="24"/>
          <w:szCs w:val="24"/>
        </w:rPr>
        <w:t xml:space="preserve">DD. 2. CEPA Action Plan (2019-2024) was adopted during MOP10 </w:t>
      </w:r>
      <w:r w:rsidR="00033472" w:rsidRPr="00925B05">
        <w:rPr>
          <w:rFonts w:cstheme="minorHAnsi"/>
          <w:bCs/>
          <w:sz w:val="24"/>
          <w:szCs w:val="24"/>
        </w:rPr>
        <w:t xml:space="preserve">to guide Partners, Working Groups and Task Forces, Site </w:t>
      </w:r>
      <w:proofErr w:type="gramStart"/>
      <w:r w:rsidR="00033472" w:rsidRPr="00925B05">
        <w:rPr>
          <w:rFonts w:cstheme="minorHAnsi"/>
          <w:bCs/>
          <w:sz w:val="24"/>
          <w:szCs w:val="24"/>
        </w:rPr>
        <w:t>Managers</w:t>
      </w:r>
      <w:proofErr w:type="gramEnd"/>
      <w:r w:rsidR="00033472" w:rsidRPr="00925B05">
        <w:rPr>
          <w:rFonts w:cstheme="minorHAnsi"/>
          <w:bCs/>
          <w:sz w:val="24"/>
          <w:szCs w:val="24"/>
        </w:rPr>
        <w:t xml:space="preserve"> and other stakeholder</w:t>
      </w:r>
      <w:r w:rsidR="00281A25">
        <w:rPr>
          <w:rFonts w:cstheme="minorHAnsi"/>
          <w:bCs/>
          <w:sz w:val="24"/>
          <w:szCs w:val="24"/>
        </w:rPr>
        <w:t>s</w:t>
      </w:r>
      <w:r w:rsidR="00033472" w:rsidRPr="00925B05">
        <w:rPr>
          <w:rFonts w:cstheme="minorHAnsi"/>
          <w:bCs/>
          <w:sz w:val="24"/>
          <w:szCs w:val="24"/>
        </w:rPr>
        <w:t xml:space="preserve"> to implement CEPA Actions. </w:t>
      </w:r>
    </w:p>
    <w:p w14:paraId="79B6DB14" w14:textId="77777777" w:rsidR="00033472" w:rsidRPr="00925B05" w:rsidRDefault="00033472" w:rsidP="008720F8">
      <w:pPr>
        <w:pStyle w:val="ListParagraph"/>
        <w:rPr>
          <w:rFonts w:cstheme="minorHAnsi"/>
          <w:bCs/>
          <w:sz w:val="24"/>
          <w:szCs w:val="24"/>
        </w:rPr>
      </w:pPr>
    </w:p>
    <w:p w14:paraId="6C93D721" w14:textId="498C7BDE" w:rsidR="003C2750" w:rsidRPr="00925B05" w:rsidRDefault="003C2750" w:rsidP="00925B05">
      <w:pPr>
        <w:pStyle w:val="ListParagraph"/>
        <w:numPr>
          <w:ilvl w:val="0"/>
          <w:numId w:val="33"/>
        </w:numPr>
        <w:rPr>
          <w:rFonts w:cstheme="minorHAnsi"/>
          <w:bCs/>
          <w:sz w:val="24"/>
          <w:szCs w:val="24"/>
        </w:rPr>
      </w:pPr>
      <w:r w:rsidRPr="008720F8">
        <w:rPr>
          <w:sz w:val="24"/>
          <w:szCs w:val="24"/>
        </w:rPr>
        <w:t xml:space="preserve">EAAFP Finance Sub-Committee Workshop was held in Singapore from 4-6 September 2019 at the </w:t>
      </w:r>
      <w:proofErr w:type="spellStart"/>
      <w:r w:rsidRPr="008720F8">
        <w:rPr>
          <w:sz w:val="24"/>
          <w:szCs w:val="24"/>
        </w:rPr>
        <w:t>Sungei</w:t>
      </w:r>
      <w:proofErr w:type="spellEnd"/>
      <w:r w:rsidRPr="008720F8">
        <w:rPr>
          <w:sz w:val="24"/>
          <w:szCs w:val="24"/>
        </w:rPr>
        <w:t xml:space="preserve"> Buloh Wetland Reserve</w:t>
      </w:r>
      <w:r w:rsidRPr="00925B05">
        <w:rPr>
          <w:sz w:val="24"/>
          <w:szCs w:val="24"/>
        </w:rPr>
        <w:t xml:space="preserve">, where the CEPA Working Group Chair and three members attended. It was discussed and </w:t>
      </w:r>
      <w:r w:rsidR="00341DE8" w:rsidRPr="00925B05">
        <w:rPr>
          <w:sz w:val="24"/>
          <w:szCs w:val="24"/>
        </w:rPr>
        <w:t xml:space="preserve">agreed that a </w:t>
      </w:r>
      <w:r w:rsidRPr="00925B05">
        <w:rPr>
          <w:sz w:val="24"/>
          <w:szCs w:val="24"/>
        </w:rPr>
        <w:t>separate funding strategy for the CEPA Action Plan should be developed by the CEPA Working Group</w:t>
      </w:r>
      <w:r w:rsidR="00341DE8" w:rsidRPr="00925B05">
        <w:rPr>
          <w:sz w:val="24"/>
          <w:szCs w:val="24"/>
        </w:rPr>
        <w:t xml:space="preserve"> (refer to MOP11</w:t>
      </w:r>
      <w:r w:rsidR="00476074">
        <w:rPr>
          <w:sz w:val="24"/>
          <w:szCs w:val="24"/>
        </w:rPr>
        <w:t>/</w:t>
      </w:r>
      <w:r w:rsidR="00341DE8" w:rsidRPr="00925B05">
        <w:rPr>
          <w:sz w:val="24"/>
          <w:szCs w:val="24"/>
        </w:rPr>
        <w:t>DD.2)</w:t>
      </w:r>
      <w:r w:rsidRPr="00925B05">
        <w:rPr>
          <w:sz w:val="24"/>
          <w:szCs w:val="24"/>
        </w:rPr>
        <w:t xml:space="preserve">. </w:t>
      </w:r>
    </w:p>
    <w:p w14:paraId="06133D51" w14:textId="77777777" w:rsidR="003C2750" w:rsidRPr="00925B05" w:rsidRDefault="003C2750" w:rsidP="008720F8">
      <w:pPr>
        <w:pStyle w:val="ListParagraph"/>
        <w:rPr>
          <w:rFonts w:cstheme="minorHAnsi"/>
          <w:bCs/>
          <w:sz w:val="24"/>
          <w:szCs w:val="24"/>
        </w:rPr>
      </w:pPr>
    </w:p>
    <w:p w14:paraId="7189B796" w14:textId="0F47E01D" w:rsidR="00B23C1A" w:rsidRPr="00925B05" w:rsidRDefault="00341DE8" w:rsidP="00925B05">
      <w:pPr>
        <w:pStyle w:val="ListParagraph"/>
        <w:numPr>
          <w:ilvl w:val="0"/>
          <w:numId w:val="33"/>
        </w:numPr>
        <w:rPr>
          <w:rFonts w:cstheme="minorHAnsi"/>
          <w:bCs/>
          <w:sz w:val="24"/>
          <w:szCs w:val="24"/>
        </w:rPr>
      </w:pPr>
      <w:r w:rsidRPr="00925B05">
        <w:rPr>
          <w:rFonts w:cstheme="minorHAnsi"/>
          <w:bCs/>
          <w:sz w:val="24"/>
          <w:szCs w:val="24"/>
        </w:rPr>
        <w:t xml:space="preserve">CEPA Working Group was restructured </w:t>
      </w:r>
      <w:r w:rsidR="000B5034" w:rsidRPr="00925B05">
        <w:rPr>
          <w:rFonts w:cstheme="minorHAnsi"/>
          <w:bCs/>
          <w:sz w:val="24"/>
          <w:szCs w:val="24"/>
        </w:rPr>
        <w:t xml:space="preserve">and reactivated </w:t>
      </w:r>
      <w:r w:rsidRPr="00925B05">
        <w:rPr>
          <w:rFonts w:cstheme="minorHAnsi"/>
          <w:bCs/>
          <w:sz w:val="24"/>
          <w:szCs w:val="24"/>
        </w:rPr>
        <w:t>in August 2021, and</w:t>
      </w:r>
      <w:r w:rsidR="00F33EDA" w:rsidRPr="00925B05">
        <w:rPr>
          <w:rFonts w:cstheme="minorHAnsi"/>
          <w:bCs/>
          <w:sz w:val="24"/>
          <w:szCs w:val="24"/>
        </w:rPr>
        <w:t xml:space="preserve"> since then meeting </w:t>
      </w:r>
      <w:proofErr w:type="gramStart"/>
      <w:r w:rsidR="00281A25">
        <w:rPr>
          <w:rFonts w:cstheme="minorHAnsi"/>
          <w:bCs/>
          <w:sz w:val="24"/>
          <w:szCs w:val="24"/>
        </w:rPr>
        <w:t>o</w:t>
      </w:r>
      <w:r w:rsidR="00F33EDA" w:rsidRPr="00925B05">
        <w:rPr>
          <w:rFonts w:cstheme="minorHAnsi"/>
          <w:bCs/>
          <w:sz w:val="24"/>
          <w:szCs w:val="24"/>
        </w:rPr>
        <w:t xml:space="preserve">n </w:t>
      </w:r>
      <w:r w:rsidR="00281A25">
        <w:rPr>
          <w:rFonts w:cstheme="minorHAnsi"/>
          <w:bCs/>
          <w:sz w:val="24"/>
          <w:szCs w:val="24"/>
        </w:rPr>
        <w:t xml:space="preserve">a </w:t>
      </w:r>
      <w:r w:rsidR="00476074" w:rsidRPr="00925B05">
        <w:rPr>
          <w:rFonts w:cstheme="minorHAnsi"/>
          <w:bCs/>
          <w:sz w:val="24"/>
          <w:szCs w:val="24"/>
        </w:rPr>
        <w:t>monthly basis</w:t>
      </w:r>
      <w:proofErr w:type="gramEnd"/>
      <w:r w:rsidR="00F33EDA" w:rsidRPr="00925B05">
        <w:rPr>
          <w:rFonts w:cstheme="minorHAnsi"/>
          <w:bCs/>
          <w:sz w:val="24"/>
          <w:szCs w:val="24"/>
        </w:rPr>
        <w:t xml:space="preserve">. </w:t>
      </w:r>
      <w:r w:rsidR="00C37433">
        <w:rPr>
          <w:rFonts w:cstheme="minorHAnsi"/>
          <w:bCs/>
          <w:sz w:val="24"/>
          <w:szCs w:val="24"/>
        </w:rPr>
        <w:t xml:space="preserve">The </w:t>
      </w:r>
      <w:r w:rsidR="00F33EDA" w:rsidRPr="00925B05">
        <w:rPr>
          <w:rFonts w:cstheme="minorHAnsi"/>
          <w:bCs/>
          <w:sz w:val="24"/>
          <w:szCs w:val="24"/>
        </w:rPr>
        <w:t>CEPA Working Group</w:t>
      </w:r>
      <w:r w:rsidRPr="00925B05">
        <w:rPr>
          <w:rFonts w:cstheme="minorHAnsi"/>
          <w:bCs/>
          <w:sz w:val="24"/>
          <w:szCs w:val="24"/>
        </w:rPr>
        <w:t xml:space="preserve"> </w:t>
      </w:r>
      <w:r w:rsidR="000B5034" w:rsidRPr="00925B05">
        <w:rPr>
          <w:rFonts w:cstheme="minorHAnsi"/>
          <w:bCs/>
          <w:sz w:val="24"/>
          <w:szCs w:val="24"/>
        </w:rPr>
        <w:t>revisited</w:t>
      </w:r>
      <w:r w:rsidRPr="00925B05">
        <w:rPr>
          <w:rFonts w:cstheme="minorHAnsi"/>
          <w:bCs/>
          <w:sz w:val="24"/>
          <w:szCs w:val="24"/>
        </w:rPr>
        <w:t xml:space="preserve"> the CEPA Action Plan (2019-2024)</w:t>
      </w:r>
      <w:r w:rsidR="000B5034" w:rsidRPr="00925B05">
        <w:rPr>
          <w:rFonts w:cstheme="minorHAnsi"/>
          <w:bCs/>
          <w:sz w:val="24"/>
          <w:szCs w:val="24"/>
        </w:rPr>
        <w:t xml:space="preserve"> and discussed its implementation. The CEPA Working Group agreed that an</w:t>
      </w:r>
      <w:r w:rsidR="00B23C1A" w:rsidRPr="00925B05">
        <w:rPr>
          <w:rFonts w:cstheme="minorHAnsi"/>
          <w:bCs/>
          <w:sz w:val="24"/>
          <w:szCs w:val="24"/>
        </w:rPr>
        <w:t xml:space="preserve"> </w:t>
      </w:r>
      <w:r w:rsidR="000B5034" w:rsidRPr="00925B05">
        <w:rPr>
          <w:rFonts w:cstheme="minorHAnsi"/>
          <w:bCs/>
          <w:sz w:val="24"/>
          <w:szCs w:val="24"/>
        </w:rPr>
        <w:lastRenderedPageBreak/>
        <w:t>U</w:t>
      </w:r>
      <w:r w:rsidR="00B23C1A" w:rsidRPr="00925B05">
        <w:rPr>
          <w:rFonts w:cstheme="minorHAnsi"/>
          <w:bCs/>
          <w:sz w:val="24"/>
          <w:szCs w:val="24"/>
        </w:rPr>
        <w:t>pdate</w:t>
      </w:r>
      <w:r w:rsidR="000B5034" w:rsidRPr="00925B05">
        <w:rPr>
          <w:rFonts w:cstheme="minorHAnsi"/>
          <w:bCs/>
          <w:sz w:val="24"/>
          <w:szCs w:val="24"/>
        </w:rPr>
        <w:t xml:space="preserve"> of the Action Plan was</w:t>
      </w:r>
      <w:r w:rsidR="00B23C1A" w:rsidRPr="00925B05">
        <w:rPr>
          <w:rFonts w:cstheme="minorHAnsi"/>
          <w:bCs/>
          <w:sz w:val="24"/>
          <w:szCs w:val="24"/>
        </w:rPr>
        <w:t xml:space="preserve"> needed for the </w:t>
      </w:r>
      <w:r w:rsidR="00B25E68" w:rsidRPr="00925B05">
        <w:rPr>
          <w:rFonts w:cstheme="minorHAnsi"/>
          <w:bCs/>
          <w:sz w:val="24"/>
          <w:szCs w:val="24"/>
        </w:rPr>
        <w:t xml:space="preserve">further development of the implementation and resource mobilization for CEPA actions in the EAAFP. </w:t>
      </w:r>
      <w:r w:rsidR="00E277F3" w:rsidRPr="00925B05">
        <w:rPr>
          <w:rFonts w:cstheme="minorHAnsi"/>
          <w:bCs/>
          <w:sz w:val="24"/>
          <w:szCs w:val="24"/>
        </w:rPr>
        <w:t xml:space="preserve">  </w:t>
      </w:r>
    </w:p>
    <w:p w14:paraId="20D5AC87" w14:textId="77777777" w:rsidR="00F33EDA" w:rsidRPr="00925B05" w:rsidRDefault="00F33EDA" w:rsidP="008720F8">
      <w:pPr>
        <w:pStyle w:val="ListParagraph"/>
        <w:rPr>
          <w:rFonts w:cstheme="minorHAnsi"/>
          <w:bCs/>
          <w:sz w:val="24"/>
          <w:szCs w:val="24"/>
        </w:rPr>
      </w:pPr>
    </w:p>
    <w:p w14:paraId="086B8AAD" w14:textId="1664C433" w:rsidR="00925B05" w:rsidRPr="008720F8" w:rsidRDefault="00F33EDA" w:rsidP="00925B05">
      <w:pPr>
        <w:pStyle w:val="ListParagraph"/>
        <w:numPr>
          <w:ilvl w:val="0"/>
          <w:numId w:val="33"/>
        </w:numPr>
        <w:rPr>
          <w:rFonts w:cstheme="minorHAnsi"/>
          <w:bCs/>
          <w:sz w:val="24"/>
          <w:szCs w:val="24"/>
        </w:rPr>
      </w:pPr>
      <w:r w:rsidRPr="00925B05">
        <w:rPr>
          <w:rFonts w:cstheme="minorHAnsi"/>
          <w:bCs/>
          <w:sz w:val="24"/>
          <w:szCs w:val="24"/>
        </w:rPr>
        <w:t xml:space="preserve">CEPA Working </w:t>
      </w:r>
      <w:r w:rsidR="006145B0">
        <w:rPr>
          <w:rFonts w:cstheme="minorHAnsi"/>
          <w:bCs/>
          <w:sz w:val="24"/>
          <w:szCs w:val="24"/>
        </w:rPr>
        <w:t xml:space="preserve">Group </w:t>
      </w:r>
      <w:r w:rsidRPr="00925B05">
        <w:rPr>
          <w:rFonts w:cstheme="minorHAnsi"/>
          <w:bCs/>
          <w:sz w:val="24"/>
          <w:szCs w:val="24"/>
        </w:rPr>
        <w:t xml:space="preserve">shared the draft of updates of CEPA Action Plans </w:t>
      </w:r>
      <w:r w:rsidRPr="008720F8">
        <w:rPr>
          <w:rFonts w:cstheme="minorHAnsi"/>
          <w:bCs/>
          <w:sz w:val="24"/>
          <w:szCs w:val="24"/>
        </w:rPr>
        <w:t xml:space="preserve">2023 – 2028 with Partners, Working Groups and Task Forces for consultation, twice by email and during the </w:t>
      </w:r>
      <w:r w:rsidR="006145B0">
        <w:rPr>
          <w:rFonts w:cstheme="minorHAnsi"/>
          <w:bCs/>
          <w:sz w:val="24"/>
          <w:szCs w:val="24"/>
        </w:rPr>
        <w:t xml:space="preserve">online </w:t>
      </w:r>
      <w:r w:rsidRPr="008720F8">
        <w:rPr>
          <w:rFonts w:cstheme="minorHAnsi"/>
          <w:bCs/>
          <w:sz w:val="24"/>
          <w:szCs w:val="24"/>
        </w:rPr>
        <w:t xml:space="preserve">Partners Workshop held in August 2022. </w:t>
      </w:r>
      <w:r w:rsidR="002A3D3E">
        <w:rPr>
          <w:rFonts w:cstheme="minorHAnsi"/>
          <w:bCs/>
          <w:sz w:val="24"/>
          <w:szCs w:val="24"/>
        </w:rPr>
        <w:t>Nine</w:t>
      </w:r>
      <w:r w:rsidRPr="008720F8">
        <w:rPr>
          <w:rFonts w:cstheme="minorHAnsi"/>
          <w:bCs/>
          <w:sz w:val="24"/>
          <w:szCs w:val="24"/>
        </w:rPr>
        <w:t xml:space="preserve"> </w:t>
      </w:r>
      <w:r w:rsidR="00C37433">
        <w:rPr>
          <w:rFonts w:cstheme="minorHAnsi"/>
          <w:bCs/>
          <w:sz w:val="24"/>
          <w:szCs w:val="24"/>
        </w:rPr>
        <w:t>sets of comments</w:t>
      </w:r>
      <w:r w:rsidRPr="008720F8">
        <w:rPr>
          <w:rFonts w:cstheme="minorHAnsi"/>
          <w:bCs/>
          <w:sz w:val="24"/>
          <w:szCs w:val="24"/>
        </w:rPr>
        <w:t xml:space="preserve"> were received from Partners</w:t>
      </w:r>
      <w:r w:rsidR="00281A25">
        <w:rPr>
          <w:rFonts w:cstheme="minorHAnsi"/>
          <w:bCs/>
          <w:sz w:val="24"/>
          <w:szCs w:val="24"/>
        </w:rPr>
        <w:t xml:space="preserve">, </w:t>
      </w:r>
      <w:r w:rsidRPr="008720F8">
        <w:rPr>
          <w:rFonts w:cstheme="minorHAnsi"/>
          <w:bCs/>
          <w:sz w:val="24"/>
          <w:szCs w:val="24"/>
        </w:rPr>
        <w:t>Working Groups and Task Force</w:t>
      </w:r>
      <w:r w:rsidR="00281A25">
        <w:rPr>
          <w:rFonts w:cstheme="minorHAnsi"/>
          <w:bCs/>
          <w:sz w:val="24"/>
          <w:szCs w:val="24"/>
        </w:rPr>
        <w:t>s</w:t>
      </w:r>
      <w:r w:rsidRPr="008720F8">
        <w:rPr>
          <w:rFonts w:cstheme="minorHAnsi"/>
          <w:bCs/>
          <w:sz w:val="24"/>
          <w:szCs w:val="24"/>
        </w:rPr>
        <w:t xml:space="preserve">. </w:t>
      </w:r>
    </w:p>
    <w:p w14:paraId="609257FA" w14:textId="77777777" w:rsidR="00925B05" w:rsidRPr="008720F8" w:rsidRDefault="00925B05" w:rsidP="008720F8">
      <w:pPr>
        <w:pStyle w:val="ListParagraph"/>
        <w:rPr>
          <w:rFonts w:cstheme="minorHAnsi"/>
          <w:bCs/>
          <w:sz w:val="24"/>
          <w:szCs w:val="24"/>
        </w:rPr>
      </w:pPr>
    </w:p>
    <w:p w14:paraId="7EE96F27" w14:textId="585B1BB6" w:rsidR="00C47AF6" w:rsidRPr="008720F8" w:rsidRDefault="00F33EDA" w:rsidP="008720F8">
      <w:pPr>
        <w:pStyle w:val="ListParagraph"/>
        <w:numPr>
          <w:ilvl w:val="0"/>
          <w:numId w:val="33"/>
        </w:numPr>
        <w:rPr>
          <w:bCs/>
          <w:sz w:val="24"/>
          <w:szCs w:val="24"/>
        </w:rPr>
      </w:pPr>
      <w:r w:rsidRPr="008720F8">
        <w:rPr>
          <w:bCs/>
          <w:sz w:val="24"/>
          <w:szCs w:val="24"/>
        </w:rPr>
        <w:t>The</w:t>
      </w:r>
      <w:r w:rsidR="00C47AF6" w:rsidRPr="008720F8">
        <w:rPr>
          <w:bCs/>
          <w:sz w:val="24"/>
          <w:szCs w:val="24"/>
        </w:rPr>
        <w:t xml:space="preserve"> updated CEPA Action Plan 2023 – 2028 (see Appendix 1) provides an action-oriented framework organized under two objectives: </w:t>
      </w:r>
    </w:p>
    <w:p w14:paraId="5C5A358F" w14:textId="3A42F759" w:rsidR="00C47AF6" w:rsidRPr="008720F8" w:rsidRDefault="00C47AF6" w:rsidP="008720F8">
      <w:pPr>
        <w:pStyle w:val="ListParagraph"/>
        <w:numPr>
          <w:ilvl w:val="0"/>
          <w:numId w:val="42"/>
        </w:numPr>
        <w:rPr>
          <w:rFonts w:cstheme="minorHAnsi"/>
          <w:bCs/>
          <w:sz w:val="24"/>
          <w:szCs w:val="24"/>
        </w:rPr>
      </w:pPr>
      <w:r w:rsidRPr="008720F8">
        <w:rPr>
          <w:rFonts w:cstheme="minorHAnsi"/>
          <w:bCs/>
          <w:sz w:val="24"/>
          <w:szCs w:val="24"/>
        </w:rPr>
        <w:t xml:space="preserve">Promote the EAAFP so that stakeholders are aware of the mission and objectives of EAAFP and of the Flyway Site Network, and </w:t>
      </w:r>
    </w:p>
    <w:p w14:paraId="0BC59BAC" w14:textId="3617F031" w:rsidR="00C47AF6" w:rsidRPr="008720F8" w:rsidRDefault="00C47AF6" w:rsidP="00925B05">
      <w:pPr>
        <w:pStyle w:val="ListParagraph"/>
        <w:numPr>
          <w:ilvl w:val="0"/>
          <w:numId w:val="42"/>
        </w:numPr>
        <w:rPr>
          <w:rFonts w:cstheme="minorHAnsi"/>
          <w:bCs/>
          <w:sz w:val="24"/>
          <w:szCs w:val="24"/>
        </w:rPr>
      </w:pPr>
      <w:r w:rsidRPr="008720F8">
        <w:rPr>
          <w:rFonts w:cstheme="minorHAnsi"/>
          <w:bCs/>
          <w:sz w:val="24"/>
          <w:szCs w:val="24"/>
        </w:rPr>
        <w:t xml:space="preserve">People in the EAAF are aware of migratory waterbirds, </w:t>
      </w:r>
      <w:r w:rsidR="00281A25">
        <w:rPr>
          <w:rFonts w:cstheme="minorHAnsi"/>
          <w:bCs/>
          <w:sz w:val="24"/>
          <w:szCs w:val="24"/>
        </w:rPr>
        <w:t xml:space="preserve">and </w:t>
      </w:r>
      <w:r w:rsidRPr="008720F8">
        <w:rPr>
          <w:rFonts w:cstheme="minorHAnsi"/>
          <w:bCs/>
          <w:sz w:val="24"/>
          <w:szCs w:val="24"/>
        </w:rPr>
        <w:t xml:space="preserve">the habitats that they depend upon and participate in their conservation. </w:t>
      </w:r>
    </w:p>
    <w:p w14:paraId="507F0839" w14:textId="77777777" w:rsidR="00925B05" w:rsidRPr="008720F8" w:rsidRDefault="00925B05" w:rsidP="008720F8">
      <w:pPr>
        <w:pStyle w:val="ListParagraph"/>
        <w:ind w:left="1080"/>
        <w:rPr>
          <w:rFonts w:cstheme="minorHAnsi"/>
          <w:bCs/>
          <w:sz w:val="24"/>
          <w:szCs w:val="24"/>
        </w:rPr>
      </w:pPr>
    </w:p>
    <w:p w14:paraId="793F6AC0" w14:textId="683FB51D" w:rsidR="00925B05" w:rsidRPr="008720F8" w:rsidRDefault="00925B05" w:rsidP="008720F8">
      <w:pPr>
        <w:pStyle w:val="ListParagraph"/>
        <w:numPr>
          <w:ilvl w:val="0"/>
          <w:numId w:val="33"/>
        </w:numPr>
        <w:rPr>
          <w:rFonts w:cstheme="minorHAnsi"/>
          <w:bCs/>
          <w:sz w:val="24"/>
          <w:szCs w:val="24"/>
        </w:rPr>
      </w:pPr>
      <w:r w:rsidRPr="008720F8">
        <w:rPr>
          <w:rFonts w:cstheme="minorHAnsi"/>
          <w:bCs/>
          <w:sz w:val="24"/>
          <w:szCs w:val="24"/>
        </w:rPr>
        <w:t xml:space="preserve"> Under these objectives, twelve preferred statuses are described with actions, indicators of success, responsible parties, and target audiences. The updated CEPA Action Plan was extensively reviewed by many members of the Partnership between June and October 2022, and many improvements were incorporated from the input.</w:t>
      </w:r>
    </w:p>
    <w:p w14:paraId="1C16D524" w14:textId="773B15A3" w:rsidR="00925B05" w:rsidRPr="008720F8" w:rsidRDefault="00925B05" w:rsidP="008720F8">
      <w:pPr>
        <w:pStyle w:val="ListParagraph"/>
        <w:rPr>
          <w:sz w:val="24"/>
          <w:szCs w:val="24"/>
        </w:rPr>
      </w:pPr>
    </w:p>
    <w:p w14:paraId="4A16789B" w14:textId="0CF07436" w:rsidR="00925B05" w:rsidRPr="008720F8" w:rsidRDefault="00C47AF6" w:rsidP="008720F8">
      <w:pPr>
        <w:pStyle w:val="ListParagraph"/>
        <w:numPr>
          <w:ilvl w:val="0"/>
          <w:numId w:val="33"/>
        </w:numPr>
        <w:rPr>
          <w:sz w:val="24"/>
          <w:szCs w:val="24"/>
        </w:rPr>
      </w:pPr>
      <w:r w:rsidRPr="008720F8">
        <w:rPr>
          <w:sz w:val="24"/>
          <w:szCs w:val="24"/>
        </w:rPr>
        <w:t xml:space="preserve">Following </w:t>
      </w:r>
      <w:r w:rsidR="00281A25">
        <w:rPr>
          <w:sz w:val="24"/>
          <w:szCs w:val="24"/>
        </w:rPr>
        <w:t xml:space="preserve">the </w:t>
      </w:r>
      <w:r w:rsidRPr="008720F8">
        <w:rPr>
          <w:sz w:val="24"/>
          <w:szCs w:val="24"/>
        </w:rPr>
        <w:t xml:space="preserve">adoption of </w:t>
      </w:r>
      <w:r w:rsidR="004D40D3" w:rsidRPr="00925B05">
        <w:rPr>
          <w:sz w:val="24"/>
          <w:szCs w:val="24"/>
        </w:rPr>
        <w:t>the</w:t>
      </w:r>
      <w:r w:rsidR="00F33EDA" w:rsidRPr="00925B05">
        <w:rPr>
          <w:sz w:val="24"/>
          <w:szCs w:val="24"/>
        </w:rPr>
        <w:t xml:space="preserve"> </w:t>
      </w:r>
      <w:r w:rsidRPr="008720F8">
        <w:rPr>
          <w:sz w:val="24"/>
          <w:szCs w:val="24"/>
        </w:rPr>
        <w:t xml:space="preserve">CEPA Action Plan 2023 – 2028, the CEPA Working Group and others throughout the Partnership will identify high priority CEPA actions, develop a summary leaflet, write an implementation plan with associated resourcing needs, and continue to engage internally to coordinate and incorporate CEPA actions into </w:t>
      </w:r>
      <w:r w:rsidR="00281A25" w:rsidRPr="008720F8">
        <w:rPr>
          <w:sz w:val="24"/>
          <w:szCs w:val="24"/>
        </w:rPr>
        <w:t>compl</w:t>
      </w:r>
      <w:r w:rsidR="00281A25">
        <w:rPr>
          <w:sz w:val="24"/>
          <w:szCs w:val="24"/>
        </w:rPr>
        <w:t>e</w:t>
      </w:r>
      <w:r w:rsidR="00281A25" w:rsidRPr="008720F8">
        <w:rPr>
          <w:sz w:val="24"/>
          <w:szCs w:val="24"/>
        </w:rPr>
        <w:t xml:space="preserve">mentary </w:t>
      </w:r>
      <w:r w:rsidRPr="008720F8">
        <w:rPr>
          <w:sz w:val="24"/>
          <w:szCs w:val="24"/>
        </w:rPr>
        <w:t xml:space="preserve">goals among the EAAFP Partners, Subcommittees, Working Groups and Task Forces, Site Managers, and externally with other relevant stakeholders and target audiences. </w:t>
      </w:r>
    </w:p>
    <w:p w14:paraId="6408D426" w14:textId="77777777" w:rsidR="00925B05" w:rsidRPr="008720F8" w:rsidRDefault="00925B05" w:rsidP="008720F8">
      <w:pPr>
        <w:pStyle w:val="ListParagraph"/>
        <w:rPr>
          <w:rFonts w:cstheme="minorHAnsi"/>
          <w:bCs/>
          <w:sz w:val="24"/>
          <w:szCs w:val="24"/>
        </w:rPr>
      </w:pPr>
    </w:p>
    <w:p w14:paraId="02A0AAE6" w14:textId="53B86508" w:rsidR="00C47AF6" w:rsidRPr="008720F8" w:rsidRDefault="00C47AF6" w:rsidP="008720F8">
      <w:pPr>
        <w:pStyle w:val="ListParagraph"/>
        <w:numPr>
          <w:ilvl w:val="0"/>
          <w:numId w:val="33"/>
        </w:numPr>
        <w:rPr>
          <w:rFonts w:cstheme="minorHAnsi"/>
          <w:bCs/>
          <w:sz w:val="24"/>
          <w:szCs w:val="24"/>
        </w:rPr>
      </w:pPr>
      <w:r w:rsidRPr="008720F8">
        <w:rPr>
          <w:rFonts w:cstheme="minorHAnsi"/>
          <w:bCs/>
          <w:sz w:val="24"/>
          <w:szCs w:val="24"/>
        </w:rPr>
        <w:t xml:space="preserve">Additionally, the CEPA Working Group will strive to collaborate with related CEPA efforts from multilateral environmental agreements, such as Ramsar Convention, Convention on Biological Diversity (CBD), African-Eurasian Waterbird Agreement (AEWA), and international initiatives such as Wetlands Link International, World Wetland Network, and World Coastal Forum. </w:t>
      </w:r>
    </w:p>
    <w:p w14:paraId="44A4ED54" w14:textId="77777777" w:rsidR="00925B05" w:rsidRPr="008720F8" w:rsidRDefault="00925B05" w:rsidP="008720F8">
      <w:pPr>
        <w:pStyle w:val="ListParagraph"/>
        <w:rPr>
          <w:rFonts w:cstheme="minorHAnsi"/>
          <w:b/>
          <w:sz w:val="24"/>
          <w:szCs w:val="24"/>
        </w:rPr>
      </w:pPr>
    </w:p>
    <w:p w14:paraId="5D3735B3" w14:textId="2022724F" w:rsidR="00C70655" w:rsidRPr="008720F8" w:rsidRDefault="00E65015" w:rsidP="00925B05">
      <w:pPr>
        <w:pStyle w:val="ListParagraph"/>
        <w:numPr>
          <w:ilvl w:val="0"/>
          <w:numId w:val="33"/>
        </w:numPr>
        <w:rPr>
          <w:rFonts w:cstheme="minorHAnsi"/>
          <w:b/>
          <w:sz w:val="24"/>
          <w:szCs w:val="24"/>
        </w:rPr>
      </w:pPr>
      <w:r w:rsidRPr="008720F8">
        <w:rPr>
          <w:rFonts w:cstheme="minorHAnsi"/>
          <w:bCs/>
          <w:sz w:val="24"/>
          <w:szCs w:val="24"/>
        </w:rPr>
        <w:t xml:space="preserve">The CEPA Working Group encouraged the CEPA Action Plan to be implemented </w:t>
      </w:r>
      <w:r w:rsidRPr="00925B05">
        <w:rPr>
          <w:rFonts w:cstheme="minorHAnsi"/>
          <w:bCs/>
          <w:sz w:val="24"/>
          <w:szCs w:val="24"/>
        </w:rPr>
        <w:t>throughout the Partnership, not just within the CEPA Working Group.</w:t>
      </w:r>
    </w:p>
    <w:p w14:paraId="51D9CF8D" w14:textId="77777777" w:rsidR="00925B05" w:rsidRPr="008720F8" w:rsidRDefault="00925B05" w:rsidP="008720F8">
      <w:pPr>
        <w:pStyle w:val="ListParagraph"/>
        <w:rPr>
          <w:rFonts w:cstheme="minorHAnsi"/>
          <w:b/>
          <w:sz w:val="24"/>
          <w:szCs w:val="24"/>
        </w:rPr>
      </w:pPr>
    </w:p>
    <w:p w14:paraId="6488094E" w14:textId="09764AAE" w:rsidR="00925B05" w:rsidRDefault="00925B05" w:rsidP="00925B05">
      <w:pPr>
        <w:rPr>
          <w:rFonts w:cstheme="minorHAnsi"/>
          <w:b/>
          <w:sz w:val="24"/>
          <w:szCs w:val="24"/>
        </w:rPr>
      </w:pPr>
    </w:p>
    <w:p w14:paraId="1A1BA877" w14:textId="77777777" w:rsidR="00925B05" w:rsidRPr="008720F8" w:rsidRDefault="00925B05" w:rsidP="00925B05">
      <w:pPr>
        <w:rPr>
          <w:rFonts w:cstheme="minorHAnsi"/>
          <w:b/>
          <w:sz w:val="24"/>
          <w:szCs w:val="24"/>
        </w:rPr>
      </w:pPr>
    </w:p>
    <w:p w14:paraId="7F1D52A3" w14:textId="215B489E" w:rsidR="00C70655" w:rsidRDefault="00C70655" w:rsidP="00C70655">
      <w:pPr>
        <w:rPr>
          <w:rFonts w:cstheme="minorHAnsi"/>
          <w:b/>
          <w:sz w:val="24"/>
          <w:szCs w:val="24"/>
        </w:rPr>
      </w:pPr>
      <w:r>
        <w:rPr>
          <w:rFonts w:cstheme="minorHAnsi"/>
          <w:b/>
          <w:sz w:val="24"/>
          <w:szCs w:val="24"/>
        </w:rPr>
        <w:lastRenderedPageBreak/>
        <w:t>Decision</w:t>
      </w:r>
      <w:r w:rsidR="00EA1EF2">
        <w:rPr>
          <w:rFonts w:cstheme="minorHAnsi"/>
          <w:b/>
          <w:sz w:val="24"/>
          <w:szCs w:val="24"/>
        </w:rPr>
        <w:t>s</w:t>
      </w:r>
      <w:r>
        <w:rPr>
          <w:rFonts w:cstheme="minorHAnsi"/>
          <w:b/>
          <w:sz w:val="24"/>
          <w:szCs w:val="24"/>
        </w:rPr>
        <w:t>:</w:t>
      </w:r>
    </w:p>
    <w:p w14:paraId="4A111ACC" w14:textId="77777777" w:rsidR="00EA1EF2" w:rsidRPr="00EA1EF2" w:rsidRDefault="00EA1EF2" w:rsidP="00EA1EF2">
      <w:pPr>
        <w:rPr>
          <w:rFonts w:cstheme="minorHAnsi"/>
          <w:bCs/>
          <w:sz w:val="24"/>
          <w:szCs w:val="24"/>
        </w:rPr>
      </w:pPr>
      <w:r w:rsidRPr="00EA1EF2">
        <w:rPr>
          <w:rFonts w:cstheme="minorHAnsi"/>
          <w:bCs/>
          <w:sz w:val="24"/>
          <w:szCs w:val="24"/>
        </w:rPr>
        <w:t>Partners attending the 11th Meeting of Partners are requested to:</w:t>
      </w:r>
    </w:p>
    <w:p w14:paraId="0D3DDE7A" w14:textId="7391FA31" w:rsidR="00EA1EF2" w:rsidRDefault="00EA1EF2" w:rsidP="00EA1EF2">
      <w:pPr>
        <w:pStyle w:val="ListParagraph"/>
        <w:numPr>
          <w:ilvl w:val="0"/>
          <w:numId w:val="31"/>
        </w:numPr>
        <w:rPr>
          <w:rFonts w:cstheme="minorHAnsi"/>
          <w:bCs/>
          <w:sz w:val="24"/>
          <w:szCs w:val="24"/>
        </w:rPr>
      </w:pPr>
      <w:r w:rsidRPr="00EA1EF2">
        <w:rPr>
          <w:rFonts w:cstheme="minorHAnsi"/>
          <w:bCs/>
          <w:i/>
          <w:iCs/>
          <w:sz w:val="24"/>
          <w:szCs w:val="24"/>
        </w:rPr>
        <w:t xml:space="preserve">Adopt </w:t>
      </w:r>
      <w:r w:rsidRPr="00EA1EF2">
        <w:rPr>
          <w:rFonts w:cstheme="minorHAnsi"/>
          <w:bCs/>
          <w:sz w:val="24"/>
          <w:szCs w:val="24"/>
        </w:rPr>
        <w:t>the updated CEPA Action Plan 2023 -2028</w:t>
      </w:r>
      <w:r w:rsidR="00925B05">
        <w:rPr>
          <w:rFonts w:cstheme="minorHAnsi"/>
          <w:bCs/>
          <w:sz w:val="24"/>
          <w:szCs w:val="24"/>
        </w:rPr>
        <w:t xml:space="preserve"> (Appendix 1)</w:t>
      </w:r>
      <w:r w:rsidRPr="00EA1EF2">
        <w:rPr>
          <w:rFonts w:cstheme="minorHAnsi"/>
          <w:bCs/>
          <w:sz w:val="24"/>
          <w:szCs w:val="24"/>
        </w:rPr>
        <w:t>.</w:t>
      </w:r>
    </w:p>
    <w:p w14:paraId="133934B4" w14:textId="77777777" w:rsidR="00BA64AA" w:rsidRPr="00EA1EF2" w:rsidRDefault="00BA64AA" w:rsidP="00BA64AA">
      <w:pPr>
        <w:pStyle w:val="ListParagraph"/>
        <w:ind w:left="360"/>
        <w:rPr>
          <w:rFonts w:cstheme="minorHAnsi"/>
          <w:bCs/>
          <w:sz w:val="24"/>
          <w:szCs w:val="24"/>
        </w:rPr>
      </w:pPr>
    </w:p>
    <w:p w14:paraId="5BCD5670" w14:textId="0366F367" w:rsidR="000B410A" w:rsidRDefault="00925B05" w:rsidP="000B410A">
      <w:pPr>
        <w:pStyle w:val="ListParagraph"/>
        <w:numPr>
          <w:ilvl w:val="0"/>
          <w:numId w:val="31"/>
        </w:numPr>
        <w:rPr>
          <w:rFonts w:cstheme="minorHAnsi"/>
          <w:bCs/>
          <w:sz w:val="24"/>
          <w:szCs w:val="24"/>
        </w:rPr>
      </w:pPr>
      <w:r>
        <w:rPr>
          <w:rFonts w:cstheme="minorHAnsi"/>
          <w:bCs/>
          <w:i/>
          <w:iCs/>
          <w:sz w:val="24"/>
          <w:szCs w:val="24"/>
        </w:rPr>
        <w:t>Encourage</w:t>
      </w:r>
      <w:r w:rsidR="000B410A" w:rsidRPr="00EA1EF2">
        <w:rPr>
          <w:rFonts w:cstheme="minorHAnsi"/>
          <w:bCs/>
          <w:sz w:val="24"/>
          <w:szCs w:val="24"/>
        </w:rPr>
        <w:t xml:space="preserve"> members of the Partnership to collaborate on CEPA planning and action with </w:t>
      </w:r>
      <w:r w:rsidR="00E65015">
        <w:rPr>
          <w:rFonts w:cstheme="minorHAnsi"/>
          <w:bCs/>
          <w:sz w:val="24"/>
          <w:szCs w:val="24"/>
        </w:rPr>
        <w:t>P</w:t>
      </w:r>
      <w:r w:rsidR="000B410A" w:rsidRPr="00EA1EF2">
        <w:rPr>
          <w:rFonts w:cstheme="minorHAnsi"/>
          <w:bCs/>
          <w:sz w:val="24"/>
          <w:szCs w:val="24"/>
        </w:rPr>
        <w:t>artners</w:t>
      </w:r>
      <w:r w:rsidR="00E65015">
        <w:rPr>
          <w:rFonts w:cstheme="minorHAnsi"/>
          <w:bCs/>
          <w:sz w:val="24"/>
          <w:szCs w:val="24"/>
        </w:rPr>
        <w:t xml:space="preserve">, Working Groups and Task Forces, Site </w:t>
      </w:r>
      <w:proofErr w:type="gramStart"/>
      <w:r w:rsidR="00E65015">
        <w:rPr>
          <w:rFonts w:cstheme="minorHAnsi"/>
          <w:bCs/>
          <w:sz w:val="24"/>
          <w:szCs w:val="24"/>
        </w:rPr>
        <w:t>Managers</w:t>
      </w:r>
      <w:proofErr w:type="gramEnd"/>
      <w:r w:rsidR="00E65015">
        <w:rPr>
          <w:rFonts w:cstheme="minorHAnsi"/>
          <w:bCs/>
          <w:sz w:val="24"/>
          <w:szCs w:val="24"/>
        </w:rPr>
        <w:t xml:space="preserve"> and other stakeholders.</w:t>
      </w:r>
    </w:p>
    <w:p w14:paraId="39E15465" w14:textId="77777777" w:rsidR="000B410A" w:rsidRDefault="000B410A" w:rsidP="008720F8">
      <w:pPr>
        <w:pStyle w:val="ListParagraph"/>
        <w:ind w:left="360"/>
        <w:rPr>
          <w:rFonts w:cstheme="minorHAnsi"/>
          <w:bCs/>
          <w:sz w:val="24"/>
          <w:szCs w:val="24"/>
        </w:rPr>
      </w:pPr>
    </w:p>
    <w:p w14:paraId="48D9C5A7" w14:textId="72EA1388" w:rsidR="00BA64AA" w:rsidRPr="00E65015" w:rsidRDefault="00EA1EF2" w:rsidP="008720F8">
      <w:pPr>
        <w:pStyle w:val="ListParagraph"/>
        <w:numPr>
          <w:ilvl w:val="0"/>
          <w:numId w:val="31"/>
        </w:numPr>
      </w:pPr>
      <w:r w:rsidRPr="00EA1EF2">
        <w:rPr>
          <w:rFonts w:cstheme="minorHAnsi"/>
          <w:bCs/>
          <w:i/>
          <w:iCs/>
          <w:sz w:val="24"/>
          <w:szCs w:val="24"/>
        </w:rPr>
        <w:t>Support</w:t>
      </w:r>
      <w:r w:rsidRPr="00EA1EF2">
        <w:rPr>
          <w:rFonts w:cstheme="minorHAnsi"/>
          <w:bCs/>
          <w:sz w:val="24"/>
          <w:szCs w:val="24"/>
        </w:rPr>
        <w:t xml:space="preserve"> the CEPA Working Group to develop an action prioritization, summary pages, implementation plan, and resourcing plan. </w:t>
      </w:r>
    </w:p>
    <w:p w14:paraId="4CF6ED0F" w14:textId="77777777" w:rsidR="00EC42B8" w:rsidRDefault="00EC42B8" w:rsidP="00EC42B8">
      <w:pPr>
        <w:rPr>
          <w:rFonts w:cstheme="minorHAnsi"/>
          <w:bCs/>
          <w:sz w:val="24"/>
          <w:szCs w:val="24"/>
        </w:rPr>
      </w:pPr>
    </w:p>
    <w:p w14:paraId="3F2F7C35" w14:textId="77777777" w:rsidR="00D0032E" w:rsidRDefault="00D0032E" w:rsidP="000B410A">
      <w:pPr>
        <w:spacing w:after="0" w:line="240" w:lineRule="auto"/>
        <w:jc w:val="center"/>
        <w:rPr>
          <w:b/>
          <w:sz w:val="28"/>
          <w:szCs w:val="28"/>
        </w:rPr>
      </w:pPr>
    </w:p>
    <w:p w14:paraId="31F14F67" w14:textId="77777777" w:rsidR="00D0032E" w:rsidRDefault="00D0032E" w:rsidP="000B410A">
      <w:pPr>
        <w:spacing w:after="0" w:line="240" w:lineRule="auto"/>
        <w:jc w:val="center"/>
        <w:rPr>
          <w:b/>
          <w:sz w:val="28"/>
          <w:szCs w:val="28"/>
        </w:rPr>
      </w:pPr>
    </w:p>
    <w:p w14:paraId="320258A9" w14:textId="1FFFC33A" w:rsidR="000B410A" w:rsidRDefault="000B410A" w:rsidP="000B410A">
      <w:pPr>
        <w:spacing w:after="0" w:line="240" w:lineRule="auto"/>
        <w:jc w:val="center"/>
        <w:rPr>
          <w:b/>
          <w:sz w:val="28"/>
          <w:szCs w:val="28"/>
        </w:rPr>
      </w:pPr>
      <w:r w:rsidRPr="00395226">
        <w:rPr>
          <w:b/>
          <w:sz w:val="28"/>
          <w:szCs w:val="28"/>
        </w:rPr>
        <w:t>Annex 1</w:t>
      </w:r>
    </w:p>
    <w:p w14:paraId="6AFF1D81" w14:textId="77777777" w:rsidR="000B410A" w:rsidRDefault="000B410A" w:rsidP="000B410A">
      <w:pPr>
        <w:spacing w:after="0" w:line="240" w:lineRule="auto"/>
        <w:jc w:val="center"/>
        <w:rPr>
          <w:b/>
          <w:sz w:val="28"/>
          <w:szCs w:val="28"/>
        </w:rPr>
      </w:pPr>
    </w:p>
    <w:p w14:paraId="4C9C4205" w14:textId="581BCD35" w:rsidR="000B410A" w:rsidRDefault="000B410A" w:rsidP="000B410A">
      <w:pPr>
        <w:spacing w:after="0" w:line="240" w:lineRule="auto"/>
        <w:jc w:val="center"/>
        <w:rPr>
          <w:b/>
          <w:sz w:val="28"/>
          <w:szCs w:val="28"/>
        </w:rPr>
      </w:pPr>
      <w:r w:rsidRPr="00A108A2">
        <w:rPr>
          <w:b/>
          <w:sz w:val="28"/>
          <w:szCs w:val="28"/>
        </w:rPr>
        <w:t xml:space="preserve">Draft Decision </w:t>
      </w:r>
      <w:r>
        <w:rPr>
          <w:b/>
          <w:sz w:val="28"/>
          <w:szCs w:val="28"/>
        </w:rPr>
        <w:t>1</w:t>
      </w:r>
    </w:p>
    <w:p w14:paraId="219D9083" w14:textId="77777777" w:rsidR="000B410A" w:rsidRDefault="000B410A" w:rsidP="000B410A">
      <w:pPr>
        <w:spacing w:after="0"/>
        <w:jc w:val="center"/>
        <w:rPr>
          <w:b/>
          <w:sz w:val="28"/>
          <w:szCs w:val="28"/>
        </w:rPr>
      </w:pPr>
      <w:r w:rsidRPr="003258BB">
        <w:rPr>
          <w:b/>
          <w:sz w:val="28"/>
          <w:szCs w:val="28"/>
        </w:rPr>
        <w:t>CEPA Action Plan 2023 – 2028</w:t>
      </w:r>
    </w:p>
    <w:p w14:paraId="34BDAB23" w14:textId="77777777" w:rsidR="000B410A" w:rsidRDefault="000B410A" w:rsidP="000B410A">
      <w:pPr>
        <w:spacing w:after="0"/>
      </w:pPr>
    </w:p>
    <w:p w14:paraId="178A042D" w14:textId="4C48C432" w:rsidR="00D0032E" w:rsidRDefault="00D0032E" w:rsidP="000B410A">
      <w:pPr>
        <w:spacing w:after="0"/>
        <w:rPr>
          <w:i/>
        </w:rPr>
      </w:pPr>
    </w:p>
    <w:p w14:paraId="6B5B245F" w14:textId="694858F8" w:rsidR="000B410A" w:rsidRPr="002341DB" w:rsidRDefault="000B410A" w:rsidP="000B410A">
      <w:pPr>
        <w:spacing w:after="0"/>
      </w:pPr>
      <w:r w:rsidRPr="00FC553E">
        <w:rPr>
          <w:i/>
        </w:rPr>
        <w:t xml:space="preserve">Submitted by </w:t>
      </w:r>
      <w:r w:rsidRPr="003258BB">
        <w:rPr>
          <w:i/>
        </w:rPr>
        <w:t xml:space="preserve">the United States on behalf of the CEPA Working Group.  </w:t>
      </w:r>
    </w:p>
    <w:p w14:paraId="2805CC92" w14:textId="0CA8B5D1" w:rsidR="00EC42B8" w:rsidRDefault="00EC42B8" w:rsidP="00EC42B8">
      <w:pPr>
        <w:rPr>
          <w:rFonts w:cstheme="minorHAnsi"/>
          <w:bCs/>
          <w:sz w:val="24"/>
          <w:szCs w:val="24"/>
        </w:rPr>
      </w:pPr>
    </w:p>
    <w:p w14:paraId="244D7F72" w14:textId="32CADD37" w:rsidR="00870951" w:rsidRPr="008720F8" w:rsidRDefault="00870951" w:rsidP="008720F8">
      <w:pPr>
        <w:rPr>
          <w:rFonts w:cstheme="minorHAnsi"/>
          <w:bCs/>
          <w:sz w:val="24"/>
          <w:szCs w:val="24"/>
        </w:rPr>
      </w:pPr>
      <w:r w:rsidRPr="008720F8">
        <w:rPr>
          <w:rFonts w:cstheme="minorHAnsi"/>
          <w:bCs/>
          <w:i/>
          <w:iCs/>
          <w:sz w:val="24"/>
          <w:szCs w:val="24"/>
        </w:rPr>
        <w:t xml:space="preserve">Recalling </w:t>
      </w:r>
      <w:r>
        <w:rPr>
          <w:rFonts w:cstheme="minorHAnsi"/>
          <w:bCs/>
          <w:sz w:val="24"/>
          <w:szCs w:val="24"/>
        </w:rPr>
        <w:t>a</w:t>
      </w:r>
      <w:r w:rsidRPr="008720F8">
        <w:rPr>
          <w:rFonts w:cstheme="minorHAnsi"/>
          <w:bCs/>
          <w:sz w:val="24"/>
          <w:szCs w:val="24"/>
        </w:rPr>
        <w:t>t MOP10/DD.1 EAAFP Strategic Plan 2019-2028 was adopted, prioritized in Objective 2 to “Enhance communication, education, participation and awareness (CEPA) of the values of migratory waterbirds and their habitats”.  It states the Key Result Areas of Objective 2 “The achievement of the elements in the EAAFP CEPA Action Plan (2019-2024)”.</w:t>
      </w:r>
      <w:r w:rsidR="00A37D69">
        <w:rPr>
          <w:rFonts w:cstheme="minorHAnsi"/>
          <w:bCs/>
          <w:sz w:val="24"/>
          <w:szCs w:val="24"/>
        </w:rPr>
        <w:t xml:space="preserve"> MOP10/DD. 2. CEPA Action Plan (2019-2024) was adopted during MOP10 to guide Partners, Working Groups and Task Forces, Site Managers and other stakeholder</w:t>
      </w:r>
      <w:r w:rsidR="00281A25">
        <w:rPr>
          <w:rFonts w:cstheme="minorHAnsi"/>
          <w:bCs/>
          <w:sz w:val="24"/>
          <w:szCs w:val="24"/>
        </w:rPr>
        <w:t>s</w:t>
      </w:r>
      <w:r w:rsidR="00A37D69">
        <w:rPr>
          <w:rFonts w:cstheme="minorHAnsi"/>
          <w:bCs/>
          <w:sz w:val="24"/>
          <w:szCs w:val="24"/>
        </w:rPr>
        <w:t xml:space="preserve"> to implement CEPA Actions.</w:t>
      </w:r>
    </w:p>
    <w:p w14:paraId="3F53BEE9" w14:textId="32D96B46" w:rsidR="00870951" w:rsidRDefault="005D1FC0" w:rsidP="00EC42B8">
      <w:pPr>
        <w:rPr>
          <w:rFonts w:cstheme="minorHAnsi"/>
          <w:bCs/>
          <w:sz w:val="24"/>
          <w:szCs w:val="24"/>
        </w:rPr>
      </w:pPr>
      <w:r w:rsidRPr="008720F8">
        <w:rPr>
          <w:rFonts w:cstheme="minorHAnsi"/>
          <w:bCs/>
          <w:i/>
          <w:iCs/>
          <w:sz w:val="24"/>
          <w:szCs w:val="24"/>
        </w:rPr>
        <w:t>Recognizing</w:t>
      </w:r>
      <w:r>
        <w:rPr>
          <w:rFonts w:cstheme="minorHAnsi"/>
          <w:bCs/>
          <w:sz w:val="24"/>
          <w:szCs w:val="24"/>
        </w:rPr>
        <w:t xml:space="preserve"> that when </w:t>
      </w:r>
      <w:r w:rsidRPr="005D1FC0">
        <w:rPr>
          <w:rFonts w:cstheme="minorHAnsi"/>
          <w:bCs/>
          <w:sz w:val="24"/>
          <w:szCs w:val="24"/>
        </w:rPr>
        <w:t xml:space="preserve">EAAFP Finance Sub-Committee Workshop </w:t>
      </w:r>
      <w:r w:rsidR="00281A25">
        <w:rPr>
          <w:rFonts w:cstheme="minorHAnsi"/>
          <w:bCs/>
          <w:sz w:val="24"/>
          <w:szCs w:val="24"/>
        </w:rPr>
        <w:t xml:space="preserve">was </w:t>
      </w:r>
      <w:r w:rsidRPr="005D1FC0">
        <w:rPr>
          <w:rFonts w:cstheme="minorHAnsi"/>
          <w:bCs/>
          <w:sz w:val="24"/>
          <w:szCs w:val="24"/>
        </w:rPr>
        <w:t xml:space="preserve">held in Singapore from 4-6 September 2019 at the </w:t>
      </w:r>
      <w:proofErr w:type="spellStart"/>
      <w:r w:rsidRPr="005D1FC0">
        <w:rPr>
          <w:rFonts w:cstheme="minorHAnsi"/>
          <w:bCs/>
          <w:sz w:val="24"/>
          <w:szCs w:val="24"/>
        </w:rPr>
        <w:t>Sungei</w:t>
      </w:r>
      <w:proofErr w:type="spellEnd"/>
      <w:r w:rsidRPr="005D1FC0">
        <w:rPr>
          <w:rFonts w:cstheme="minorHAnsi"/>
          <w:bCs/>
          <w:sz w:val="24"/>
          <w:szCs w:val="24"/>
        </w:rPr>
        <w:t xml:space="preserve"> Buloh Wetland Reserve, where the CEPA Working Group Chair and three members attended</w:t>
      </w:r>
      <w:r>
        <w:rPr>
          <w:rFonts w:cstheme="minorHAnsi"/>
          <w:bCs/>
          <w:sz w:val="24"/>
          <w:szCs w:val="24"/>
        </w:rPr>
        <w:t>, i</w:t>
      </w:r>
      <w:r w:rsidRPr="005D1FC0">
        <w:rPr>
          <w:rFonts w:cstheme="minorHAnsi"/>
          <w:bCs/>
          <w:sz w:val="24"/>
          <w:szCs w:val="24"/>
        </w:rPr>
        <w:t>t was discussed and agreed that a separate funding strategy for the CEPA Action Plan should be developed by the CEPA Working Group (refer to MOP11</w:t>
      </w:r>
      <w:r w:rsidR="00476074">
        <w:rPr>
          <w:rFonts w:cstheme="minorHAnsi"/>
          <w:bCs/>
          <w:sz w:val="24"/>
          <w:szCs w:val="24"/>
        </w:rPr>
        <w:t>/</w:t>
      </w:r>
      <w:r w:rsidRPr="005D1FC0">
        <w:rPr>
          <w:rFonts w:cstheme="minorHAnsi"/>
          <w:bCs/>
          <w:sz w:val="24"/>
          <w:szCs w:val="24"/>
        </w:rPr>
        <w:t>DD.2).</w:t>
      </w:r>
    </w:p>
    <w:p w14:paraId="400FC68C" w14:textId="365E26A4" w:rsidR="00A37D69" w:rsidRDefault="005D1FC0" w:rsidP="00EC42B8">
      <w:pPr>
        <w:rPr>
          <w:rFonts w:cstheme="minorHAnsi"/>
          <w:bCs/>
          <w:sz w:val="24"/>
          <w:szCs w:val="24"/>
        </w:rPr>
      </w:pPr>
      <w:r w:rsidRPr="008720F8">
        <w:rPr>
          <w:rFonts w:cstheme="minorHAnsi"/>
          <w:bCs/>
          <w:i/>
          <w:iCs/>
          <w:sz w:val="24"/>
          <w:szCs w:val="24"/>
        </w:rPr>
        <w:t xml:space="preserve">Noting </w:t>
      </w:r>
      <w:r>
        <w:rPr>
          <w:rFonts w:cstheme="minorHAnsi"/>
          <w:bCs/>
          <w:sz w:val="24"/>
          <w:szCs w:val="24"/>
        </w:rPr>
        <w:t>th</w:t>
      </w:r>
      <w:r w:rsidR="00281A25">
        <w:rPr>
          <w:rFonts w:cstheme="minorHAnsi"/>
          <w:bCs/>
          <w:sz w:val="24"/>
          <w:szCs w:val="24"/>
        </w:rPr>
        <w:t>e</w:t>
      </w:r>
      <w:r>
        <w:rPr>
          <w:rFonts w:cstheme="minorHAnsi"/>
          <w:bCs/>
          <w:sz w:val="24"/>
          <w:szCs w:val="24"/>
        </w:rPr>
        <w:t xml:space="preserve"> </w:t>
      </w:r>
      <w:r w:rsidRPr="005D1FC0">
        <w:rPr>
          <w:rFonts w:cstheme="minorHAnsi"/>
          <w:bCs/>
          <w:sz w:val="24"/>
          <w:szCs w:val="24"/>
        </w:rPr>
        <w:t xml:space="preserve">CEPA Working Group was restructured and reactivated in August 2021, and since then meeting </w:t>
      </w:r>
      <w:r w:rsidR="00281A25">
        <w:rPr>
          <w:rFonts w:cstheme="minorHAnsi"/>
          <w:bCs/>
          <w:sz w:val="24"/>
          <w:szCs w:val="24"/>
        </w:rPr>
        <w:t>o</w:t>
      </w:r>
      <w:r w:rsidRPr="005D1FC0">
        <w:rPr>
          <w:rFonts w:cstheme="minorHAnsi"/>
          <w:bCs/>
          <w:sz w:val="24"/>
          <w:szCs w:val="24"/>
        </w:rPr>
        <w:t xml:space="preserve">n </w:t>
      </w:r>
      <w:r w:rsidR="00281A25">
        <w:rPr>
          <w:rFonts w:cstheme="minorHAnsi"/>
          <w:bCs/>
          <w:sz w:val="24"/>
          <w:szCs w:val="24"/>
        </w:rPr>
        <w:t xml:space="preserve">a </w:t>
      </w:r>
      <w:r w:rsidRPr="005D1FC0">
        <w:rPr>
          <w:rFonts w:cstheme="minorHAnsi"/>
          <w:bCs/>
          <w:sz w:val="24"/>
          <w:szCs w:val="24"/>
        </w:rPr>
        <w:t>monthly</w:t>
      </w:r>
      <w:r w:rsidR="006145B0">
        <w:rPr>
          <w:rFonts w:cstheme="minorHAnsi"/>
          <w:bCs/>
          <w:sz w:val="24"/>
          <w:szCs w:val="24"/>
        </w:rPr>
        <w:t xml:space="preserve"> </w:t>
      </w:r>
      <w:r w:rsidRPr="005D1FC0">
        <w:rPr>
          <w:rFonts w:cstheme="minorHAnsi"/>
          <w:bCs/>
          <w:sz w:val="24"/>
          <w:szCs w:val="24"/>
        </w:rPr>
        <w:t xml:space="preserve">basis. CEPA Working Group revisited the CEPA Action Plan (2019-2024) and discussed its implementation. The CEPA Working Group agreed that an Update of the Action Plan was needed for the further development of the implementation and resource mobilization for CEPA actions in the EAAFP.   </w:t>
      </w:r>
    </w:p>
    <w:p w14:paraId="515FB637" w14:textId="2790D675" w:rsidR="005D1FC0" w:rsidRPr="005D1FC0" w:rsidRDefault="005D1FC0" w:rsidP="008720F8">
      <w:pPr>
        <w:rPr>
          <w:rFonts w:cstheme="minorHAnsi"/>
          <w:bCs/>
          <w:sz w:val="24"/>
          <w:szCs w:val="24"/>
        </w:rPr>
      </w:pPr>
      <w:r w:rsidRPr="008720F8">
        <w:rPr>
          <w:rFonts w:cstheme="minorHAnsi"/>
          <w:bCs/>
          <w:i/>
          <w:iCs/>
          <w:sz w:val="24"/>
          <w:szCs w:val="24"/>
        </w:rPr>
        <w:lastRenderedPageBreak/>
        <w:t>Further recalling</w:t>
      </w:r>
      <w:r w:rsidRPr="005D1FC0">
        <w:rPr>
          <w:rFonts w:cstheme="minorHAnsi"/>
          <w:bCs/>
          <w:sz w:val="24"/>
          <w:szCs w:val="24"/>
        </w:rPr>
        <w:t xml:space="preserve"> that CEPA Working </w:t>
      </w:r>
      <w:r w:rsidR="006145B0">
        <w:rPr>
          <w:rFonts w:cstheme="minorHAnsi"/>
          <w:bCs/>
          <w:sz w:val="24"/>
          <w:szCs w:val="24"/>
        </w:rPr>
        <w:t xml:space="preserve">Group </w:t>
      </w:r>
      <w:r w:rsidRPr="005D1FC0">
        <w:rPr>
          <w:rFonts w:cstheme="minorHAnsi"/>
          <w:bCs/>
          <w:sz w:val="24"/>
          <w:szCs w:val="24"/>
        </w:rPr>
        <w:t xml:space="preserve">shared the draft of updates of CEPA Action Plans </w:t>
      </w:r>
      <w:r w:rsidRPr="005D1FC0">
        <w:rPr>
          <w:rFonts w:cstheme="minorHAnsi"/>
          <w:bCs/>
        </w:rPr>
        <w:t>2023 – 2028 with Partners, Working Groups and Task Forces for consultation</w:t>
      </w:r>
      <w:r>
        <w:rPr>
          <w:rFonts w:cstheme="minorHAnsi"/>
          <w:bCs/>
        </w:rPr>
        <w:t>,</w:t>
      </w:r>
      <w:r w:rsidR="002A3D3E">
        <w:rPr>
          <w:rFonts w:cstheme="minorHAnsi"/>
          <w:bCs/>
        </w:rPr>
        <w:t xml:space="preserve"> with nine</w:t>
      </w:r>
      <w:r w:rsidRPr="005D1FC0">
        <w:rPr>
          <w:rFonts w:cstheme="minorHAnsi"/>
          <w:bCs/>
        </w:rPr>
        <w:t xml:space="preserve"> </w:t>
      </w:r>
      <w:r w:rsidR="006145B0">
        <w:rPr>
          <w:rFonts w:cstheme="minorHAnsi"/>
          <w:bCs/>
        </w:rPr>
        <w:t xml:space="preserve">sets of </w:t>
      </w:r>
      <w:r w:rsidRPr="005D1FC0">
        <w:rPr>
          <w:rFonts w:cstheme="minorHAnsi"/>
          <w:bCs/>
        </w:rPr>
        <w:t xml:space="preserve">feedback received from </w:t>
      </w:r>
      <w:r w:rsidR="002A3D3E">
        <w:rPr>
          <w:rFonts w:cstheme="minorHAnsi"/>
          <w:bCs/>
        </w:rPr>
        <w:t>P</w:t>
      </w:r>
      <w:r w:rsidRPr="005D1FC0">
        <w:rPr>
          <w:rFonts w:cstheme="minorHAnsi"/>
          <w:bCs/>
        </w:rPr>
        <w:t>artners</w:t>
      </w:r>
      <w:r w:rsidR="006145B0">
        <w:rPr>
          <w:rFonts w:cstheme="minorHAnsi"/>
          <w:bCs/>
        </w:rPr>
        <w:t>,</w:t>
      </w:r>
      <w:r w:rsidRPr="005D1FC0">
        <w:rPr>
          <w:rFonts w:cstheme="minorHAnsi"/>
          <w:bCs/>
        </w:rPr>
        <w:t xml:space="preserve"> Working Groups and Task Forces. The CEPA Working Group encouraged the CEPA Action Plan to be implemented throughout the Partnership, not just within the CEPA Working Group.</w:t>
      </w:r>
    </w:p>
    <w:p w14:paraId="4E618DE2" w14:textId="7A97D618" w:rsidR="00870951" w:rsidRDefault="00870951" w:rsidP="000B410A">
      <w:pPr>
        <w:rPr>
          <w:rFonts w:cstheme="minorHAnsi"/>
          <w:b/>
          <w:sz w:val="24"/>
          <w:szCs w:val="24"/>
        </w:rPr>
      </w:pPr>
    </w:p>
    <w:p w14:paraId="3BB71ACD" w14:textId="0BD53665" w:rsidR="00870951" w:rsidRDefault="00870951" w:rsidP="008720F8">
      <w:pPr>
        <w:jc w:val="center"/>
      </w:pPr>
      <w:r>
        <w:t>The 11th Meeting of Partners</w:t>
      </w:r>
    </w:p>
    <w:p w14:paraId="2DFD3E1F" w14:textId="17B9B056" w:rsidR="00870951" w:rsidRDefault="00870951" w:rsidP="00870951">
      <w:pPr>
        <w:jc w:val="center"/>
      </w:pPr>
      <w:r>
        <w:t>of the East Asian – Australasian Flyway Partnership</w:t>
      </w:r>
    </w:p>
    <w:p w14:paraId="49AE878B" w14:textId="77777777" w:rsidR="00870951" w:rsidRDefault="00870951" w:rsidP="008720F8">
      <w:pPr>
        <w:jc w:val="center"/>
        <w:rPr>
          <w:rFonts w:cstheme="minorHAnsi"/>
          <w:b/>
          <w:sz w:val="24"/>
          <w:szCs w:val="24"/>
        </w:rPr>
      </w:pPr>
    </w:p>
    <w:p w14:paraId="1CE0489A" w14:textId="77777777" w:rsidR="000B410A" w:rsidRDefault="000B410A" w:rsidP="000B410A">
      <w:pPr>
        <w:rPr>
          <w:rFonts w:cstheme="minorHAnsi"/>
          <w:b/>
          <w:sz w:val="24"/>
          <w:szCs w:val="24"/>
        </w:rPr>
      </w:pPr>
      <w:r>
        <w:rPr>
          <w:rFonts w:cstheme="minorHAnsi"/>
          <w:b/>
          <w:sz w:val="24"/>
          <w:szCs w:val="24"/>
        </w:rPr>
        <w:t>Decisions:</w:t>
      </w:r>
    </w:p>
    <w:p w14:paraId="634DFDA8" w14:textId="77777777" w:rsidR="000B410A" w:rsidRPr="00EA1EF2" w:rsidRDefault="000B410A" w:rsidP="000B410A">
      <w:pPr>
        <w:rPr>
          <w:rFonts w:cstheme="minorHAnsi"/>
          <w:bCs/>
          <w:sz w:val="24"/>
          <w:szCs w:val="24"/>
        </w:rPr>
      </w:pPr>
      <w:r w:rsidRPr="00EA1EF2">
        <w:rPr>
          <w:rFonts w:cstheme="minorHAnsi"/>
          <w:bCs/>
          <w:sz w:val="24"/>
          <w:szCs w:val="24"/>
        </w:rPr>
        <w:t>Partners attending the 11th Meeting of Partners are requested to:</w:t>
      </w:r>
    </w:p>
    <w:p w14:paraId="3AFC5F5B" w14:textId="4B5D7B57" w:rsidR="00925B05" w:rsidRPr="006145B0" w:rsidRDefault="00E65015" w:rsidP="006145B0">
      <w:pPr>
        <w:pStyle w:val="ListParagraph"/>
        <w:numPr>
          <w:ilvl w:val="0"/>
          <w:numId w:val="44"/>
        </w:numPr>
        <w:rPr>
          <w:rFonts w:cstheme="minorHAnsi"/>
          <w:bCs/>
        </w:rPr>
      </w:pPr>
      <w:r w:rsidRPr="006145B0">
        <w:rPr>
          <w:i/>
          <w:iCs/>
        </w:rPr>
        <w:t xml:space="preserve">Adopt </w:t>
      </w:r>
      <w:r w:rsidRPr="00EA1EF2">
        <w:t>the updated CEPA Action Plan 2023 -2028</w:t>
      </w:r>
      <w:r w:rsidR="00925B05">
        <w:t xml:space="preserve"> (Appendix 1)</w:t>
      </w:r>
      <w:r w:rsidR="002A3D3E">
        <w:t>.</w:t>
      </w:r>
    </w:p>
    <w:p w14:paraId="5C51925E" w14:textId="77777777" w:rsidR="006145B0" w:rsidRPr="006145B0" w:rsidRDefault="006145B0" w:rsidP="006145B0">
      <w:pPr>
        <w:pStyle w:val="ListParagraph"/>
        <w:rPr>
          <w:rFonts w:cstheme="minorHAnsi"/>
          <w:bCs/>
        </w:rPr>
      </w:pPr>
    </w:p>
    <w:p w14:paraId="0033587F" w14:textId="2F911BCA" w:rsidR="006145B0" w:rsidRDefault="002A3D3E" w:rsidP="001D74F9">
      <w:pPr>
        <w:pStyle w:val="ListParagraph"/>
        <w:numPr>
          <w:ilvl w:val="0"/>
          <w:numId w:val="44"/>
        </w:numPr>
      </w:pPr>
      <w:r w:rsidRPr="001D74F9">
        <w:rPr>
          <w:i/>
          <w:iCs/>
        </w:rPr>
        <w:t>Request</w:t>
      </w:r>
      <w:r w:rsidR="00E65015" w:rsidRPr="002F6229">
        <w:t xml:space="preserve"> members of the Partnership to collaborate on CEPA planning and action with Partners, Working Groups and Task Forces, Site Managers and other stakeholders.</w:t>
      </w:r>
      <w:r w:rsidR="002F6229" w:rsidRPr="002F6229">
        <w:t xml:space="preserve"> </w:t>
      </w:r>
    </w:p>
    <w:p w14:paraId="0B5C614B" w14:textId="6620030A" w:rsidR="002F6229" w:rsidRDefault="002F6229" w:rsidP="006145B0">
      <w:pPr>
        <w:pStyle w:val="NoSpacing"/>
        <w:numPr>
          <w:ilvl w:val="0"/>
          <w:numId w:val="44"/>
        </w:numPr>
      </w:pPr>
      <w:r w:rsidRPr="00EA1EF2">
        <w:rPr>
          <w:rFonts w:cstheme="minorHAnsi"/>
          <w:bCs/>
          <w:i/>
          <w:iCs/>
          <w:sz w:val="24"/>
          <w:szCs w:val="24"/>
        </w:rPr>
        <w:t>Support</w:t>
      </w:r>
      <w:r w:rsidRPr="00EA1EF2">
        <w:rPr>
          <w:rFonts w:cstheme="minorHAnsi"/>
          <w:bCs/>
          <w:sz w:val="24"/>
          <w:szCs w:val="24"/>
        </w:rPr>
        <w:t xml:space="preserve"> the CEPA Working Group to develop an action prioritization, summary pages, implementation plan, and resourcing plan.</w:t>
      </w:r>
    </w:p>
    <w:p w14:paraId="5F4D8D2B" w14:textId="461A5A1F" w:rsidR="00EC42B8" w:rsidRPr="00EC42B8" w:rsidRDefault="00EC42B8" w:rsidP="00EC3B5F">
      <w:pPr>
        <w:jc w:val="center"/>
        <w:rPr>
          <w:rFonts w:ascii="Calibri" w:eastAsia="Times New Roman" w:hAnsi="Calibri" w:cs="Calibri"/>
          <w:color w:val="000000"/>
        </w:rPr>
      </w:pPr>
    </w:p>
    <w:sectPr w:rsidR="00EC42B8" w:rsidRPr="00EC42B8" w:rsidSect="00EC3B5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6BCE" w14:textId="77777777" w:rsidR="00DD7284" w:rsidRDefault="00DD7284" w:rsidP="00647AB3">
      <w:pPr>
        <w:spacing w:after="0" w:line="240" w:lineRule="auto"/>
      </w:pPr>
      <w:r>
        <w:separator/>
      </w:r>
    </w:p>
  </w:endnote>
  <w:endnote w:type="continuationSeparator" w:id="0">
    <w:p w14:paraId="012CA716" w14:textId="77777777" w:rsidR="00DD7284" w:rsidRDefault="00DD7284"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3686"/>
      <w:docPartObj>
        <w:docPartGallery w:val="Page Numbers (Bottom of Page)"/>
        <w:docPartUnique/>
      </w:docPartObj>
    </w:sdtPr>
    <w:sdtEndPr>
      <w:rPr>
        <w:noProof/>
      </w:rPr>
    </w:sdtEndPr>
    <w:sdtContent>
      <w:p w14:paraId="0E0BF6B2" w14:textId="0F0858DB" w:rsidR="002A3262" w:rsidRDefault="002A3262">
        <w:pPr>
          <w:pStyle w:val="Footer"/>
          <w:jc w:val="right"/>
        </w:pPr>
        <w:r>
          <w:fldChar w:fldCharType="begin"/>
        </w:r>
        <w:r>
          <w:instrText xml:space="preserve"> PAGE   \* MERGEFORMAT </w:instrText>
        </w:r>
        <w:r>
          <w:fldChar w:fldCharType="separate"/>
        </w:r>
        <w:r w:rsidR="00534820">
          <w:rPr>
            <w:noProof/>
          </w:rPr>
          <w:t>1</w:t>
        </w:r>
        <w:r>
          <w:rPr>
            <w:noProof/>
          </w:rPr>
          <w:fldChar w:fldCharType="end"/>
        </w:r>
      </w:p>
    </w:sdtContent>
  </w:sdt>
  <w:p w14:paraId="543EDA68" w14:textId="77777777" w:rsidR="002A3262" w:rsidRDefault="002A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B44F" w14:textId="77777777" w:rsidR="00DD7284" w:rsidRDefault="00DD7284" w:rsidP="00647AB3">
      <w:pPr>
        <w:spacing w:after="0" w:line="240" w:lineRule="auto"/>
      </w:pPr>
      <w:r>
        <w:separator/>
      </w:r>
    </w:p>
  </w:footnote>
  <w:footnote w:type="continuationSeparator" w:id="0">
    <w:p w14:paraId="6DEE70CF" w14:textId="77777777" w:rsidR="00DD7284" w:rsidRDefault="00DD7284"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44B3" w14:textId="45CA9F97" w:rsidR="002A3262" w:rsidRPr="005027AC" w:rsidRDefault="002A3262" w:rsidP="00640A03">
    <w:pPr>
      <w:pStyle w:val="Header"/>
      <w:pBdr>
        <w:bottom w:val="single" w:sz="4" w:space="1" w:color="auto"/>
      </w:pBdr>
      <w:rPr>
        <w:rFonts w:cs="Arial"/>
        <w:i/>
        <w:color w:val="2F5496" w:themeColor="accent1" w:themeShade="BF"/>
        <w:szCs w:val="18"/>
        <w:lang w:val="de-DE"/>
      </w:rPr>
    </w:pPr>
    <w:bookmarkStart w:id="0" w:name="_Hlk523719439"/>
    <w:r>
      <w:rPr>
        <w:rFonts w:cs="Arial"/>
        <w:i/>
        <w:szCs w:val="18"/>
        <w:lang w:val="de-DE"/>
      </w:rPr>
      <w:t>EAAFP/MOP1</w:t>
    </w:r>
    <w:r w:rsidR="004D1121">
      <w:rPr>
        <w:rFonts w:cs="Arial"/>
        <w:i/>
        <w:szCs w:val="18"/>
        <w:lang w:val="de-DE"/>
      </w:rPr>
      <w:t>1</w:t>
    </w:r>
    <w:r>
      <w:rPr>
        <w:rFonts w:cs="Arial"/>
        <w:i/>
        <w:szCs w:val="18"/>
        <w:lang w:val="de-DE"/>
      </w:rPr>
      <w:t>/Draf</w:t>
    </w:r>
    <w:r w:rsidRPr="00A108A2">
      <w:rPr>
        <w:rFonts w:cs="Arial"/>
        <w:i/>
        <w:szCs w:val="18"/>
        <w:lang w:val="de-DE"/>
      </w:rPr>
      <w:t>t Decision</w:t>
    </w:r>
    <w:r w:rsidR="00C31066" w:rsidRPr="00A108A2">
      <w:rPr>
        <w:rFonts w:cs="Arial"/>
        <w:i/>
        <w:szCs w:val="18"/>
        <w:lang w:val="de-DE"/>
      </w:rPr>
      <w:t xml:space="preserve"> </w:t>
    </w:r>
    <w:r w:rsidR="00A661B3">
      <w:rPr>
        <w:rFonts w:cs="Arial"/>
        <w:i/>
        <w:szCs w:val="18"/>
        <w:lang w:val="de-DE"/>
      </w:rPr>
      <w:t>1</w:t>
    </w:r>
    <w:r w:rsidR="00EC7A2D">
      <w:rPr>
        <w:rFonts w:cs="Arial"/>
        <w:i/>
        <w:szCs w:val="18"/>
        <w:lang w:val="de-DE"/>
      </w:rPr>
      <w:t xml:space="preserve">                                                                                            </w:t>
    </w:r>
    <w:r w:rsidR="00EC7A2D">
      <w:rPr>
        <w:rFonts w:cs="Arial"/>
        <w:i/>
        <w:szCs w:val="18"/>
        <w:lang w:val="de-DE"/>
      </w:rPr>
      <w:t>(20 Febryary 2023)</w:t>
    </w:r>
  </w:p>
  <w:bookmarkEnd w:id="0"/>
  <w:p w14:paraId="10319CA8" w14:textId="77777777" w:rsidR="002A3262" w:rsidRDefault="002A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C5878"/>
    <w:multiLevelType w:val="hybridMultilevel"/>
    <w:tmpl w:val="6BF2A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E6195"/>
    <w:multiLevelType w:val="hybridMultilevel"/>
    <w:tmpl w:val="9044F7C2"/>
    <w:lvl w:ilvl="0" w:tplc="8F262B4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B31A7"/>
    <w:multiLevelType w:val="hybridMultilevel"/>
    <w:tmpl w:val="82184FBA"/>
    <w:lvl w:ilvl="0" w:tplc="14F69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850A92"/>
    <w:multiLevelType w:val="hybridMultilevel"/>
    <w:tmpl w:val="1AA0E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630B27"/>
    <w:multiLevelType w:val="hybridMultilevel"/>
    <w:tmpl w:val="E4E6D3A6"/>
    <w:lvl w:ilvl="0" w:tplc="2D4873E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745BC2"/>
    <w:multiLevelType w:val="multilevel"/>
    <w:tmpl w:val="E5E89F92"/>
    <w:numStyleLink w:val="BulletList"/>
  </w:abstractNum>
  <w:abstractNum w:abstractNumId="14"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5A64CE1"/>
    <w:multiLevelType w:val="hybridMultilevel"/>
    <w:tmpl w:val="C84A6B48"/>
    <w:lvl w:ilvl="0" w:tplc="4E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49190D"/>
    <w:multiLevelType w:val="hybridMultilevel"/>
    <w:tmpl w:val="848A1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AC26D8A"/>
    <w:multiLevelType w:val="hybridMultilevel"/>
    <w:tmpl w:val="056EA830"/>
    <w:lvl w:ilvl="0" w:tplc="0809000F">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40B2092"/>
    <w:multiLevelType w:val="hybridMultilevel"/>
    <w:tmpl w:val="7CA8B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84D0305"/>
    <w:multiLevelType w:val="hybridMultilevel"/>
    <w:tmpl w:val="B6184D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8F227B3"/>
    <w:multiLevelType w:val="hybridMultilevel"/>
    <w:tmpl w:val="9F506750"/>
    <w:lvl w:ilvl="0" w:tplc="E876BB22">
      <w:start w:val="1"/>
      <w:numFmt w:val="decimal"/>
      <w:lvlText w:val="%1."/>
      <w:lvlJc w:val="left"/>
      <w:pPr>
        <w:ind w:left="720" w:hanging="360"/>
      </w:pPr>
      <w:rPr>
        <w:rFonts w:cstheme="minorBidi"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BE79F9"/>
    <w:multiLevelType w:val="hybridMultilevel"/>
    <w:tmpl w:val="99D0290C"/>
    <w:lvl w:ilvl="0" w:tplc="467EA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B642E"/>
    <w:multiLevelType w:val="hybridMultilevel"/>
    <w:tmpl w:val="906277EA"/>
    <w:lvl w:ilvl="0" w:tplc="FC145628">
      <w:start w:val="1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2" w15:restartNumberingAfterBreak="0">
    <w:nsid w:val="640605EE"/>
    <w:multiLevelType w:val="hybridMultilevel"/>
    <w:tmpl w:val="4188535A"/>
    <w:lvl w:ilvl="0" w:tplc="F3C4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4"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6" w15:restartNumberingAfterBreak="0">
    <w:nsid w:val="768512D2"/>
    <w:multiLevelType w:val="hybridMultilevel"/>
    <w:tmpl w:val="B6184D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E2FB0"/>
    <w:multiLevelType w:val="hybridMultilevel"/>
    <w:tmpl w:val="3DB84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171D03"/>
    <w:multiLevelType w:val="hybridMultilevel"/>
    <w:tmpl w:val="6C1AC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442606"/>
    <w:multiLevelType w:val="hybridMultilevel"/>
    <w:tmpl w:val="F66C3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16cid:durableId="253587496">
    <w:abstractNumId w:val="8"/>
  </w:num>
  <w:num w:numId="2" w16cid:durableId="946698314">
    <w:abstractNumId w:val="0"/>
  </w:num>
  <w:num w:numId="3" w16cid:durableId="1051422903">
    <w:abstractNumId w:val="1"/>
  </w:num>
  <w:num w:numId="4" w16cid:durableId="1475871225">
    <w:abstractNumId w:val="13"/>
    <w:lvlOverride w:ilvl="0">
      <w:lvl w:ilvl="0">
        <w:start w:val="1"/>
        <w:numFmt w:val="bullet"/>
        <w:pStyle w:val="ListBullet"/>
        <w:lvlText w:val=""/>
        <w:lvlJc w:val="left"/>
        <w:pPr>
          <w:ind w:left="369" w:hanging="369"/>
        </w:pPr>
        <w:rPr>
          <w:rFonts w:ascii="Symbol" w:hAnsi="Symbol" w:hint="default"/>
          <w:color w:val="FF0000"/>
        </w:rPr>
      </w:lvl>
    </w:lvlOverride>
  </w:num>
  <w:num w:numId="5" w16cid:durableId="773207502">
    <w:abstractNumId w:val="19"/>
  </w:num>
  <w:num w:numId="6" w16cid:durableId="570850513">
    <w:abstractNumId w:val="16"/>
  </w:num>
  <w:num w:numId="7" w16cid:durableId="1891531212">
    <w:abstractNumId w:val="31"/>
  </w:num>
  <w:num w:numId="8" w16cid:durableId="1865049460">
    <w:abstractNumId w:val="35"/>
  </w:num>
  <w:num w:numId="9" w16cid:durableId="354695827">
    <w:abstractNumId w:val="33"/>
  </w:num>
  <w:num w:numId="10" w16cid:durableId="742066253">
    <w:abstractNumId w:val="13"/>
  </w:num>
  <w:num w:numId="11" w16cid:durableId="1103261012">
    <w:abstractNumId w:val="0"/>
  </w:num>
  <w:num w:numId="12" w16cid:durableId="372122926">
    <w:abstractNumId w:val="17"/>
  </w:num>
  <w:num w:numId="13" w16cid:durableId="951590240">
    <w:abstractNumId w:val="2"/>
  </w:num>
  <w:num w:numId="14" w16cid:durableId="2079934312">
    <w:abstractNumId w:val="34"/>
  </w:num>
  <w:num w:numId="15" w16cid:durableId="515537634">
    <w:abstractNumId w:val="9"/>
  </w:num>
  <w:num w:numId="16" w16cid:durableId="1395617007">
    <w:abstractNumId w:val="37"/>
  </w:num>
  <w:num w:numId="17" w16cid:durableId="460072119">
    <w:abstractNumId w:val="4"/>
  </w:num>
  <w:num w:numId="18" w16cid:durableId="1234896269">
    <w:abstractNumId w:val="14"/>
  </w:num>
  <w:num w:numId="19" w16cid:durableId="1405956511">
    <w:abstractNumId w:val="24"/>
  </w:num>
  <w:num w:numId="20" w16cid:durableId="1175417213">
    <w:abstractNumId w:val="10"/>
  </w:num>
  <w:num w:numId="21" w16cid:durableId="1301110356">
    <w:abstractNumId w:val="6"/>
  </w:num>
  <w:num w:numId="22" w16cid:durableId="784618534">
    <w:abstractNumId w:val="22"/>
  </w:num>
  <w:num w:numId="23" w16cid:durableId="1665013594">
    <w:abstractNumId w:val="15"/>
  </w:num>
  <w:num w:numId="24" w16cid:durableId="1787919888">
    <w:abstractNumId w:val="41"/>
  </w:num>
  <w:num w:numId="25" w16cid:durableId="442267143">
    <w:abstractNumId w:val="23"/>
  </w:num>
  <w:num w:numId="26" w16cid:durableId="532695520">
    <w:abstractNumId w:val="28"/>
  </w:num>
  <w:num w:numId="27" w16cid:durableId="1842308406">
    <w:abstractNumId w:val="29"/>
  </w:num>
  <w:num w:numId="28" w16cid:durableId="762649057">
    <w:abstractNumId w:val="7"/>
  </w:num>
  <w:num w:numId="29" w16cid:durableId="1644968316">
    <w:abstractNumId w:val="32"/>
  </w:num>
  <w:num w:numId="30" w16cid:durableId="1635021595">
    <w:abstractNumId w:val="18"/>
  </w:num>
  <w:num w:numId="31" w16cid:durableId="1187981394">
    <w:abstractNumId w:val="39"/>
  </w:num>
  <w:num w:numId="32" w16cid:durableId="1097170728">
    <w:abstractNumId w:val="30"/>
  </w:num>
  <w:num w:numId="33" w16cid:durableId="1115253712">
    <w:abstractNumId w:val="5"/>
  </w:num>
  <w:num w:numId="34" w16cid:durableId="1007951400">
    <w:abstractNumId w:val="12"/>
  </w:num>
  <w:num w:numId="35" w16cid:durableId="1795055896">
    <w:abstractNumId w:val="3"/>
  </w:num>
  <w:num w:numId="36" w16cid:durableId="71782132">
    <w:abstractNumId w:val="20"/>
  </w:num>
  <w:num w:numId="37" w16cid:durableId="410322201">
    <w:abstractNumId w:val="21"/>
  </w:num>
  <w:num w:numId="38" w16cid:durableId="833683738">
    <w:abstractNumId w:val="40"/>
  </w:num>
  <w:num w:numId="39" w16cid:durableId="1708069848">
    <w:abstractNumId w:val="38"/>
  </w:num>
  <w:num w:numId="40" w16cid:durableId="1991131029">
    <w:abstractNumId w:val="26"/>
  </w:num>
  <w:num w:numId="41" w16cid:durableId="1050105305">
    <w:abstractNumId w:val="36"/>
  </w:num>
  <w:num w:numId="42" w16cid:durableId="788743050">
    <w:abstractNumId w:val="25"/>
  </w:num>
  <w:num w:numId="43" w16cid:durableId="1408922648">
    <w:abstractNumId w:val="11"/>
  </w:num>
  <w:num w:numId="44" w16cid:durableId="4291317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NKoFANDGs3YtAAAA"/>
  </w:docVars>
  <w:rsids>
    <w:rsidRoot w:val="00C33073"/>
    <w:rsid w:val="000148F7"/>
    <w:rsid w:val="0001618C"/>
    <w:rsid w:val="00016379"/>
    <w:rsid w:val="00033472"/>
    <w:rsid w:val="00033765"/>
    <w:rsid w:val="00036F0D"/>
    <w:rsid w:val="0006020F"/>
    <w:rsid w:val="00062121"/>
    <w:rsid w:val="000642C7"/>
    <w:rsid w:val="000844BB"/>
    <w:rsid w:val="000A34AA"/>
    <w:rsid w:val="000B0C4A"/>
    <w:rsid w:val="000B1653"/>
    <w:rsid w:val="000B410A"/>
    <w:rsid w:val="000B4233"/>
    <w:rsid w:val="000B5034"/>
    <w:rsid w:val="000C1F7B"/>
    <w:rsid w:val="000C2103"/>
    <w:rsid w:val="000D000F"/>
    <w:rsid w:val="000D2730"/>
    <w:rsid w:val="000D3545"/>
    <w:rsid w:val="000E3BB5"/>
    <w:rsid w:val="000E3D9A"/>
    <w:rsid w:val="000E67EA"/>
    <w:rsid w:val="00112F63"/>
    <w:rsid w:val="001154F6"/>
    <w:rsid w:val="0011768D"/>
    <w:rsid w:val="00124E8F"/>
    <w:rsid w:val="00126237"/>
    <w:rsid w:val="00127A97"/>
    <w:rsid w:val="001327C1"/>
    <w:rsid w:val="00132C48"/>
    <w:rsid w:val="00141107"/>
    <w:rsid w:val="00141BC5"/>
    <w:rsid w:val="00142454"/>
    <w:rsid w:val="00144013"/>
    <w:rsid w:val="00174AEB"/>
    <w:rsid w:val="001820BC"/>
    <w:rsid w:val="001B45DC"/>
    <w:rsid w:val="001B46A8"/>
    <w:rsid w:val="001C143C"/>
    <w:rsid w:val="001C3D4B"/>
    <w:rsid w:val="001C5C8A"/>
    <w:rsid w:val="001D74F9"/>
    <w:rsid w:val="001E1322"/>
    <w:rsid w:val="001E739A"/>
    <w:rsid w:val="001F041E"/>
    <w:rsid w:val="00207A27"/>
    <w:rsid w:val="00207F47"/>
    <w:rsid w:val="00210DE7"/>
    <w:rsid w:val="00220486"/>
    <w:rsid w:val="002341DB"/>
    <w:rsid w:val="00281A25"/>
    <w:rsid w:val="002A1C84"/>
    <w:rsid w:val="002A3262"/>
    <w:rsid w:val="002A3D3E"/>
    <w:rsid w:val="002D2487"/>
    <w:rsid w:val="002E32C3"/>
    <w:rsid w:val="002F1FA7"/>
    <w:rsid w:val="002F6229"/>
    <w:rsid w:val="00322A6A"/>
    <w:rsid w:val="003258BB"/>
    <w:rsid w:val="00327E79"/>
    <w:rsid w:val="00335435"/>
    <w:rsid w:val="00341DE8"/>
    <w:rsid w:val="003501AB"/>
    <w:rsid w:val="003867F9"/>
    <w:rsid w:val="0039098A"/>
    <w:rsid w:val="00392E2F"/>
    <w:rsid w:val="003A0DB8"/>
    <w:rsid w:val="003A47DA"/>
    <w:rsid w:val="003B1987"/>
    <w:rsid w:val="003C2750"/>
    <w:rsid w:val="003D1F80"/>
    <w:rsid w:val="003D589F"/>
    <w:rsid w:val="003D6260"/>
    <w:rsid w:val="003F636C"/>
    <w:rsid w:val="00400DD7"/>
    <w:rsid w:val="00406908"/>
    <w:rsid w:val="004172EE"/>
    <w:rsid w:val="0042697B"/>
    <w:rsid w:val="0042796F"/>
    <w:rsid w:val="004310B8"/>
    <w:rsid w:val="004369F3"/>
    <w:rsid w:val="0044157E"/>
    <w:rsid w:val="00441C01"/>
    <w:rsid w:val="004460CF"/>
    <w:rsid w:val="00452E1A"/>
    <w:rsid w:val="00462565"/>
    <w:rsid w:val="00470B87"/>
    <w:rsid w:val="0047326C"/>
    <w:rsid w:val="00476074"/>
    <w:rsid w:val="004935EE"/>
    <w:rsid w:val="00496340"/>
    <w:rsid w:val="004A4A13"/>
    <w:rsid w:val="004A7948"/>
    <w:rsid w:val="004D1121"/>
    <w:rsid w:val="004D2349"/>
    <w:rsid w:val="004D40D3"/>
    <w:rsid w:val="004D6AE1"/>
    <w:rsid w:val="004E21A8"/>
    <w:rsid w:val="00500B86"/>
    <w:rsid w:val="005027AC"/>
    <w:rsid w:val="00514C9F"/>
    <w:rsid w:val="00534820"/>
    <w:rsid w:val="00547840"/>
    <w:rsid w:val="005552B3"/>
    <w:rsid w:val="005571DE"/>
    <w:rsid w:val="00563FF4"/>
    <w:rsid w:val="005659AF"/>
    <w:rsid w:val="005736D8"/>
    <w:rsid w:val="0057619C"/>
    <w:rsid w:val="00577FC1"/>
    <w:rsid w:val="00582A80"/>
    <w:rsid w:val="00596381"/>
    <w:rsid w:val="005A3324"/>
    <w:rsid w:val="005C1310"/>
    <w:rsid w:val="005C3FA9"/>
    <w:rsid w:val="005C5635"/>
    <w:rsid w:val="005D1FC0"/>
    <w:rsid w:val="005D2126"/>
    <w:rsid w:val="005E5BCC"/>
    <w:rsid w:val="00603E75"/>
    <w:rsid w:val="0061142F"/>
    <w:rsid w:val="006145B0"/>
    <w:rsid w:val="00621F50"/>
    <w:rsid w:val="00635F5C"/>
    <w:rsid w:val="00640A03"/>
    <w:rsid w:val="0064375A"/>
    <w:rsid w:val="00645456"/>
    <w:rsid w:val="00647AB3"/>
    <w:rsid w:val="00676814"/>
    <w:rsid w:val="00677F3C"/>
    <w:rsid w:val="00683D99"/>
    <w:rsid w:val="00685B66"/>
    <w:rsid w:val="00696A68"/>
    <w:rsid w:val="006C2396"/>
    <w:rsid w:val="006C2E43"/>
    <w:rsid w:val="006C5590"/>
    <w:rsid w:val="006D2EA0"/>
    <w:rsid w:val="006E12C0"/>
    <w:rsid w:val="006E172B"/>
    <w:rsid w:val="006F40CC"/>
    <w:rsid w:val="00711F2C"/>
    <w:rsid w:val="00723436"/>
    <w:rsid w:val="00750BCE"/>
    <w:rsid w:val="0075327B"/>
    <w:rsid w:val="00765D08"/>
    <w:rsid w:val="007674FB"/>
    <w:rsid w:val="007701B2"/>
    <w:rsid w:val="00773F4B"/>
    <w:rsid w:val="007750BB"/>
    <w:rsid w:val="00777179"/>
    <w:rsid w:val="00796290"/>
    <w:rsid w:val="007A70B3"/>
    <w:rsid w:val="007B1A43"/>
    <w:rsid w:val="007E4EA7"/>
    <w:rsid w:val="007E70C3"/>
    <w:rsid w:val="007F03C9"/>
    <w:rsid w:val="007F3C00"/>
    <w:rsid w:val="007F4FFE"/>
    <w:rsid w:val="0080011E"/>
    <w:rsid w:val="008076BF"/>
    <w:rsid w:val="00810F35"/>
    <w:rsid w:val="00815320"/>
    <w:rsid w:val="008404BA"/>
    <w:rsid w:val="00841013"/>
    <w:rsid w:val="008447BA"/>
    <w:rsid w:val="00853F0B"/>
    <w:rsid w:val="00854099"/>
    <w:rsid w:val="00870951"/>
    <w:rsid w:val="008720F8"/>
    <w:rsid w:val="0087371E"/>
    <w:rsid w:val="00874FB2"/>
    <w:rsid w:val="008770CE"/>
    <w:rsid w:val="0087742A"/>
    <w:rsid w:val="0088306D"/>
    <w:rsid w:val="00890835"/>
    <w:rsid w:val="00894C17"/>
    <w:rsid w:val="008A2A55"/>
    <w:rsid w:val="008B2E0E"/>
    <w:rsid w:val="008E4D3E"/>
    <w:rsid w:val="00925B05"/>
    <w:rsid w:val="00927F6F"/>
    <w:rsid w:val="0093498F"/>
    <w:rsid w:val="00937DCB"/>
    <w:rsid w:val="00943427"/>
    <w:rsid w:val="00952306"/>
    <w:rsid w:val="00956E0E"/>
    <w:rsid w:val="009632A7"/>
    <w:rsid w:val="0097715D"/>
    <w:rsid w:val="00984023"/>
    <w:rsid w:val="009B6203"/>
    <w:rsid w:val="009B6DEA"/>
    <w:rsid w:val="009F6CE6"/>
    <w:rsid w:val="00A05330"/>
    <w:rsid w:val="00A05452"/>
    <w:rsid w:val="00A108A2"/>
    <w:rsid w:val="00A10AE5"/>
    <w:rsid w:val="00A2045D"/>
    <w:rsid w:val="00A264F6"/>
    <w:rsid w:val="00A37D69"/>
    <w:rsid w:val="00A404DB"/>
    <w:rsid w:val="00A423AA"/>
    <w:rsid w:val="00A50226"/>
    <w:rsid w:val="00A60CBD"/>
    <w:rsid w:val="00A661B3"/>
    <w:rsid w:val="00A81890"/>
    <w:rsid w:val="00A858A3"/>
    <w:rsid w:val="00A96F5F"/>
    <w:rsid w:val="00AB1E76"/>
    <w:rsid w:val="00AD0331"/>
    <w:rsid w:val="00AD375C"/>
    <w:rsid w:val="00AD7E72"/>
    <w:rsid w:val="00AE0B21"/>
    <w:rsid w:val="00AF3FD2"/>
    <w:rsid w:val="00AF68FB"/>
    <w:rsid w:val="00B05AD4"/>
    <w:rsid w:val="00B10C8A"/>
    <w:rsid w:val="00B13D7D"/>
    <w:rsid w:val="00B23C1A"/>
    <w:rsid w:val="00B25E68"/>
    <w:rsid w:val="00B33304"/>
    <w:rsid w:val="00B504BA"/>
    <w:rsid w:val="00B51264"/>
    <w:rsid w:val="00B67F1F"/>
    <w:rsid w:val="00B92CAF"/>
    <w:rsid w:val="00B9680F"/>
    <w:rsid w:val="00BA0421"/>
    <w:rsid w:val="00BA1F2E"/>
    <w:rsid w:val="00BA3DBE"/>
    <w:rsid w:val="00BA64AA"/>
    <w:rsid w:val="00BC1DF7"/>
    <w:rsid w:val="00BD5D13"/>
    <w:rsid w:val="00BE235B"/>
    <w:rsid w:val="00BE4055"/>
    <w:rsid w:val="00BE7A22"/>
    <w:rsid w:val="00BF222A"/>
    <w:rsid w:val="00C07732"/>
    <w:rsid w:val="00C22F5C"/>
    <w:rsid w:val="00C25841"/>
    <w:rsid w:val="00C25BDE"/>
    <w:rsid w:val="00C26B2C"/>
    <w:rsid w:val="00C31066"/>
    <w:rsid w:val="00C33073"/>
    <w:rsid w:val="00C37433"/>
    <w:rsid w:val="00C42018"/>
    <w:rsid w:val="00C46C74"/>
    <w:rsid w:val="00C47AF6"/>
    <w:rsid w:val="00C54740"/>
    <w:rsid w:val="00C70655"/>
    <w:rsid w:val="00C744D1"/>
    <w:rsid w:val="00C962D0"/>
    <w:rsid w:val="00C97181"/>
    <w:rsid w:val="00C97800"/>
    <w:rsid w:val="00CA2C7A"/>
    <w:rsid w:val="00CA6103"/>
    <w:rsid w:val="00CD552A"/>
    <w:rsid w:val="00CF2BAC"/>
    <w:rsid w:val="00CF79F6"/>
    <w:rsid w:val="00D0032E"/>
    <w:rsid w:val="00D02ED1"/>
    <w:rsid w:val="00D04FED"/>
    <w:rsid w:val="00D2761B"/>
    <w:rsid w:val="00D40D31"/>
    <w:rsid w:val="00D9105B"/>
    <w:rsid w:val="00D93DD7"/>
    <w:rsid w:val="00D97C7C"/>
    <w:rsid w:val="00DB215A"/>
    <w:rsid w:val="00DD7284"/>
    <w:rsid w:val="00DE7A47"/>
    <w:rsid w:val="00DF4D09"/>
    <w:rsid w:val="00E01408"/>
    <w:rsid w:val="00E0293B"/>
    <w:rsid w:val="00E1223C"/>
    <w:rsid w:val="00E20D8F"/>
    <w:rsid w:val="00E277F3"/>
    <w:rsid w:val="00E302D3"/>
    <w:rsid w:val="00E40B18"/>
    <w:rsid w:val="00E431D4"/>
    <w:rsid w:val="00E52C5F"/>
    <w:rsid w:val="00E64A2B"/>
    <w:rsid w:val="00E65015"/>
    <w:rsid w:val="00E74A27"/>
    <w:rsid w:val="00E900C7"/>
    <w:rsid w:val="00E93979"/>
    <w:rsid w:val="00EA1C17"/>
    <w:rsid w:val="00EA1EF2"/>
    <w:rsid w:val="00EB03D5"/>
    <w:rsid w:val="00EB59B3"/>
    <w:rsid w:val="00EB7115"/>
    <w:rsid w:val="00EC1FE4"/>
    <w:rsid w:val="00EC3B5F"/>
    <w:rsid w:val="00EC42B8"/>
    <w:rsid w:val="00EC7A2D"/>
    <w:rsid w:val="00ED2322"/>
    <w:rsid w:val="00ED59FD"/>
    <w:rsid w:val="00EF36AE"/>
    <w:rsid w:val="00EF6967"/>
    <w:rsid w:val="00F06227"/>
    <w:rsid w:val="00F22534"/>
    <w:rsid w:val="00F26D58"/>
    <w:rsid w:val="00F33EDA"/>
    <w:rsid w:val="00F40CCE"/>
    <w:rsid w:val="00F4600C"/>
    <w:rsid w:val="00F54C52"/>
    <w:rsid w:val="00F55137"/>
    <w:rsid w:val="00F72787"/>
    <w:rsid w:val="00F74F52"/>
    <w:rsid w:val="00F86EE8"/>
    <w:rsid w:val="00F93BD6"/>
    <w:rsid w:val="00FA476B"/>
    <w:rsid w:val="00FC4BC2"/>
    <w:rsid w:val="00FC553E"/>
    <w:rsid w:val="00FD1608"/>
    <w:rsid w:val="00FD4293"/>
    <w:rsid w:val="00FD61D6"/>
    <w:rsid w:val="00FE2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Batang"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Batang"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Batang" w:hAnsi="Calibri" w:cs="Times New Roman"/>
      <w:b/>
      <w:color w:val="262626"/>
      <w:sz w:val="20"/>
      <w:lang w:eastAsia="en-US"/>
    </w:rPr>
  </w:style>
  <w:style w:type="paragraph" w:styleId="Revision">
    <w:name w:val="Revision"/>
    <w:hidden/>
    <w:uiPriority w:val="99"/>
    <w:semiHidden/>
    <w:rsid w:val="000B410A"/>
    <w:pPr>
      <w:spacing w:after="0" w:line="240" w:lineRule="auto"/>
    </w:pPr>
  </w:style>
  <w:style w:type="character" w:styleId="UnresolvedMention">
    <w:name w:val="Unresolved Mention"/>
    <w:basedOn w:val="DefaultParagraphFont"/>
    <w:uiPriority w:val="99"/>
    <w:semiHidden/>
    <w:unhideWhenUsed/>
    <w:rsid w:val="00B23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720980587">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3848660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12F60-FF01-4C33-A4CA-340E92237C72}">
  <ds:schemaRef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344c6e69-c594-4ca4-b341-09ae9dfc1422"/>
    <ds:schemaRef ds:uri="http://purl.org/dc/elements/1.1/"/>
  </ds:schemaRefs>
</ds:datastoreItem>
</file>

<file path=customXml/itemProps2.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3.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4.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5.xml><?xml version="1.0" encoding="utf-8"?>
<ds:datastoreItem xmlns:ds="http://schemas.openxmlformats.org/officeDocument/2006/customXml" ds:itemID="{04E25FC5-C3FF-444A-8AB3-B1325C0E2DAE}">
  <ds:schemaRefs>
    <ds:schemaRef ds:uri="http://schemas.openxmlformats.org/officeDocument/2006/bibliography"/>
  </ds:schemaRefs>
</ds:datastoreItem>
</file>

<file path=customXml/itemProps6.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951</Words>
  <Characters>5426</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EAAFPSecretariat</cp:lastModifiedBy>
  <cp:revision>8</cp:revision>
  <cp:lastPrinted>2023-02-20T09:24:00Z</cp:lastPrinted>
  <dcterms:created xsi:type="dcterms:W3CDTF">2023-02-17T07:17:00Z</dcterms:created>
  <dcterms:modified xsi:type="dcterms:W3CDTF">2023-02-20T09:30:00Z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23b1f56de7ee4f792f46b8baad330f2a201d5a7d12d276ab22182fcd809bebbd</vt:lpwstr>
  </property>
</Properties>
</file>