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0CEE" w14:textId="77777777" w:rsidR="00A858A3" w:rsidRDefault="00A858A3" w:rsidP="00A858A3">
      <w:pPr>
        <w:pStyle w:val="NoSpacing"/>
      </w:pPr>
      <w:r w:rsidRPr="007A3EC4"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A4E0D8C" wp14:editId="09F1A68C">
            <wp:simplePos x="0" y="0"/>
            <wp:positionH relativeFrom="column">
              <wp:posOffset>5231130</wp:posOffset>
            </wp:positionH>
            <wp:positionV relativeFrom="paragraph">
              <wp:posOffset>431800</wp:posOffset>
            </wp:positionV>
            <wp:extent cx="740410" cy="692150"/>
            <wp:effectExtent l="0" t="0" r="2540" b="0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ELEVENTH</w:t>
      </w:r>
      <w:r w:rsidRPr="007A3EC4">
        <w:t xml:space="preserve"> </w:t>
      </w:r>
      <w:r w:rsidRPr="00D81104">
        <w:t>MEETING OF PARTNERS OF THE EAST ASIAN – AUSTRALASIAN FLYWAY PARTNERSHIP</w:t>
      </w:r>
    </w:p>
    <w:p w14:paraId="3A8DCDC4" w14:textId="6167E877" w:rsidR="00C33073" w:rsidRPr="007A3EC4" w:rsidRDefault="00A858A3" w:rsidP="00A858A3">
      <w:pPr>
        <w:pStyle w:val="NoSpacing"/>
      </w:pPr>
      <w:r>
        <w:t>Brisbane, Queensland, Australia, 12</w:t>
      </w:r>
      <w:r w:rsidRPr="007A3EC4">
        <w:t>-</w:t>
      </w:r>
      <w:r>
        <w:t>17</w:t>
      </w:r>
      <w:r w:rsidRPr="007A3EC4">
        <w:t xml:space="preserve"> </w:t>
      </w:r>
      <w:r>
        <w:t>March</w:t>
      </w:r>
      <w:r w:rsidRPr="007A3EC4">
        <w:t xml:space="preserve"> 20</w:t>
      </w:r>
      <w:r>
        <w:t>23</w:t>
      </w:r>
    </w:p>
    <w:p w14:paraId="6D1BBB55" w14:textId="77777777" w:rsidR="00A264F6" w:rsidRDefault="00A264F6"/>
    <w:p w14:paraId="736CEABA" w14:textId="77777777" w:rsidR="00773F4B" w:rsidRDefault="00773F4B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49870FF2" w14:textId="70BD4CA6" w:rsidR="00645456" w:rsidRPr="00A108A2" w:rsidRDefault="00C33073" w:rsidP="00FC553E">
      <w:pPr>
        <w:spacing w:after="0" w:line="240" w:lineRule="auto"/>
        <w:jc w:val="center"/>
        <w:rPr>
          <w:b/>
          <w:sz w:val="28"/>
          <w:szCs w:val="28"/>
        </w:rPr>
      </w:pPr>
      <w:r w:rsidRPr="00A108A2">
        <w:rPr>
          <w:b/>
          <w:sz w:val="28"/>
          <w:szCs w:val="28"/>
        </w:rPr>
        <w:t>D</w:t>
      </w:r>
      <w:r w:rsidR="00645456" w:rsidRPr="00A108A2">
        <w:rPr>
          <w:b/>
          <w:sz w:val="28"/>
          <w:szCs w:val="28"/>
        </w:rPr>
        <w:t xml:space="preserve">raft Decision </w:t>
      </w:r>
      <w:r w:rsidR="00C9121D">
        <w:rPr>
          <w:b/>
          <w:sz w:val="28"/>
          <w:szCs w:val="28"/>
        </w:rPr>
        <w:t>4</w:t>
      </w:r>
    </w:p>
    <w:p w14:paraId="09462AD0" w14:textId="77777777" w:rsidR="005027AC" w:rsidRDefault="005027AC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4E84600C" w14:textId="77777777" w:rsidR="00122602" w:rsidRDefault="00EB4FF8" w:rsidP="002341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22602">
        <w:rPr>
          <w:b/>
          <w:sz w:val="28"/>
          <w:szCs w:val="28"/>
        </w:rPr>
        <w:t>ppointment of the EAAFP Technical sub-Committee members for 2023-2025</w:t>
      </w:r>
    </w:p>
    <w:p w14:paraId="277B176A" w14:textId="77777777" w:rsidR="00141BC5" w:rsidRDefault="00141BC5" w:rsidP="002341DB">
      <w:pPr>
        <w:spacing w:after="0"/>
        <w:rPr>
          <w:i/>
        </w:rPr>
      </w:pPr>
    </w:p>
    <w:p w14:paraId="5F02FD00" w14:textId="5CD07D82" w:rsidR="00C25BDE" w:rsidRDefault="00B257C7" w:rsidP="002341DB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D39167" wp14:editId="456BD85E">
                <wp:simplePos x="0" y="0"/>
                <wp:positionH relativeFrom="margin">
                  <wp:align>center</wp:align>
                </wp:positionH>
                <wp:positionV relativeFrom="paragraph">
                  <wp:posOffset>379497</wp:posOffset>
                </wp:positionV>
                <wp:extent cx="4572000" cy="231457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B6AB" w14:textId="7F70E5FD" w:rsidR="00547840" w:rsidRPr="00547840" w:rsidRDefault="00547840" w:rsidP="005478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47840">
                              <w:rPr>
                                <w:b/>
                              </w:rPr>
                              <w:t>Summary</w:t>
                            </w:r>
                          </w:p>
                          <w:p w14:paraId="1907CF9F" w14:textId="0726B738" w:rsidR="00030057" w:rsidRDefault="00030057" w:rsidP="00EB59B3">
                            <w:pPr>
                              <w:spacing w:after="0"/>
                            </w:pPr>
                            <w:r>
                              <w:t>The EAAFP Technical sub-Committee was formally established by MOP10 (2018) Decision 4.</w:t>
                            </w:r>
                          </w:p>
                          <w:p w14:paraId="43CEB47D" w14:textId="77777777" w:rsidR="00030057" w:rsidRDefault="00030057" w:rsidP="00EB59B3">
                            <w:pPr>
                              <w:spacing w:after="0"/>
                            </w:pPr>
                          </w:p>
                          <w:p w14:paraId="5D689187" w14:textId="5BB4D7FC" w:rsidR="000B6DC2" w:rsidRDefault="00030057" w:rsidP="00EB59B3">
                            <w:pPr>
                              <w:spacing w:after="0"/>
                            </w:pPr>
                            <w:r w:rsidRPr="00030057">
                              <w:t>Members of</w:t>
                            </w:r>
                            <w:r>
                              <w:t xml:space="preserve"> the EAAFP Technical sub-Committee are nominated by EAAFP Partners and appointed by Partners at each MOP.</w:t>
                            </w:r>
                          </w:p>
                          <w:p w14:paraId="69BC1EEC" w14:textId="70FB3E2A" w:rsidR="00030057" w:rsidRDefault="00030057" w:rsidP="00EB59B3">
                            <w:pPr>
                              <w:spacing w:after="0"/>
                            </w:pPr>
                          </w:p>
                          <w:p w14:paraId="718CC9D1" w14:textId="48EA4C3F" w:rsidR="00030057" w:rsidRDefault="00030057" w:rsidP="00EB59B3">
                            <w:pPr>
                              <w:spacing w:after="0"/>
                            </w:pPr>
                            <w:r>
                              <w:t xml:space="preserve">A call for nominations </w:t>
                            </w:r>
                            <w:r w:rsidR="001C1729">
                              <w:t>for appointment to</w:t>
                            </w:r>
                            <w:r>
                              <w:t xml:space="preserve"> the TsC 2023-2025 was issued by the EAAFP Secretariat in December 2022.</w:t>
                            </w:r>
                          </w:p>
                          <w:p w14:paraId="35FF77EB" w14:textId="24A8380E" w:rsidR="00030057" w:rsidRDefault="00030057" w:rsidP="00EB59B3">
                            <w:pPr>
                              <w:spacing w:after="0"/>
                            </w:pPr>
                          </w:p>
                          <w:p w14:paraId="647B4813" w14:textId="65061C0A" w:rsidR="00030057" w:rsidRDefault="00030057" w:rsidP="00EB59B3">
                            <w:pPr>
                              <w:spacing w:after="0"/>
                            </w:pPr>
                            <w:r>
                              <w:t>An Information paper listing all nominations fo</w:t>
                            </w:r>
                            <w:r w:rsidR="001C1729">
                              <w:t>r the</w:t>
                            </w:r>
                            <w:r>
                              <w:t xml:space="preserve"> TsC 2023-2025 appointment will be issued prior to MOP11.</w:t>
                            </w:r>
                          </w:p>
                          <w:p w14:paraId="61202EAC" w14:textId="2AAB71C0" w:rsidR="00030057" w:rsidRDefault="00030057" w:rsidP="00EB59B3">
                            <w:pPr>
                              <w:spacing w:after="0"/>
                            </w:pPr>
                          </w:p>
                          <w:p w14:paraId="0E37907F" w14:textId="7F9684EE" w:rsidR="00030057" w:rsidRPr="00030057" w:rsidRDefault="00030057" w:rsidP="00EB59B3">
                            <w:pPr>
                              <w:spacing w:after="0"/>
                            </w:pPr>
                            <w:r>
                              <w:t>On the basis of nominations received, EAAFP Partners will be invited to approve appointments to the TsC 2023-2025 during MOP11 (March 2023).</w:t>
                            </w:r>
                          </w:p>
                          <w:p w14:paraId="08BDF567" w14:textId="4B961746" w:rsidR="00A515B6" w:rsidRPr="00C52B20" w:rsidRDefault="00A515B6" w:rsidP="00141BC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9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9pt;width:5in;height:182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UBEAIAACAEAAAOAAAAZHJzL2Uyb0RvYy54bWysU9tu2zAMfR+wfxD0vjjJkq014hRdugwD&#10;ugvQ7gNkWY6FyaJGKbGzry8lu2naYS/D/CCIJnV4eEiurvrWsINCr8EWfDaZcqashErbXcF/3G/f&#10;XHDmg7CVMGBVwY/K86v161erzuVqDg2YSiEjEOvzzhW8CcHlWeZlo1rhJ+CUJWcN2IpAJu6yCkVH&#10;6K3J5tPpu6wDrByCVN7T35vBydcJv66VDN/q2qvATMGJW0gnprOMZ7ZeiXyHwjVajjTEP7BohbaU&#10;9AR1I4Jge9R/QLVaIniow0RCm0Fda6lSDVTNbPqimrtGOJVqIXG8O8nk/x+s/Hq4c9+Rhf4D9NTA&#10;VIR3tyB/emZh0wi7U9eI0DVKVJR4FiXLOufz8WmU2uc+gpTdF6ioyWIfIAH1NbZRFaqTETo14HgS&#10;XfWBSfq5WL6nRpJLkm/+dkb2MuUQ+eNzhz58UtCyeCk4UlcTvDjc+hDpiPwxJGbzYHS11cYkA3fl&#10;xiA7CJqAbfpG9GdhxrKu4JfL+XJQ4K8QRDWyHbI+g2h1oFE2ui34xSlI5FG3j7ZKgxaENsOdKBs7&#10;Chm1G1QMfdlTYBS0hOpIkiIMI0srRpcG8DdnHY1rwf2vvUDFmflsqS2Xs8UizncykqSc4bmnPPcI&#10;Kwmq4IGz4boJaSeiYBauqX21TsI+MRm50hgmvceViXN+bqeop8VePwAAAP//AwBQSwMEFAAGAAgA&#10;AAAhAMEigRfdAAAABwEAAA8AAABkcnMvZG93bnJldi54bWxMj81OwzAQhO9IvIO1SFwQdWhDf0I2&#10;FUICwQ3aCq5u7CYR9jrYbhrenuUEx9GMZr4p16OzYjAhdp4QbiYZCEO11x01CLvt4/USREyKtLKe&#10;DMK3ibCuzs9KVWh/ojczbFIjuIRioRDalPpCyli3xqk48b0h9g4+OJVYhkbqoE5c7qycZtlcOtUR&#10;L7SqNw+tqT83R4ewzJ+Hj/gye32v5we7SleL4ekrIF5ejPd3IJIZ018YfvEZHSpm2vsj6SgsAh9J&#10;CLcr5md3wWMg9gj5NJ+BrEr5n7/6AQAA//8DAFBLAQItABQABgAIAAAAIQC2gziS/gAAAOEBAAAT&#10;AAAAAAAAAAAAAAAAAAAAAABbQ29udGVudF9UeXBlc10ueG1sUEsBAi0AFAAGAAgAAAAhADj9If/W&#10;AAAAlAEAAAsAAAAAAAAAAAAAAAAALwEAAF9yZWxzLy5yZWxzUEsBAi0AFAAGAAgAAAAhAFQP5QEQ&#10;AgAAIAQAAA4AAAAAAAAAAAAAAAAALgIAAGRycy9lMm9Eb2MueG1sUEsBAi0AFAAGAAgAAAAhAMEi&#10;gRfdAAAABwEAAA8AAAAAAAAAAAAAAAAAagQAAGRycy9kb3ducmV2LnhtbFBLBQYAAAAABAAEAPMA&#10;AAB0BQAAAAA=&#10;">
                <v:textbox>
                  <w:txbxContent>
                    <w:p w14:paraId="08FBB6AB" w14:textId="7F70E5FD" w:rsidR="00547840" w:rsidRPr="00547840" w:rsidRDefault="00547840" w:rsidP="005478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47840">
                        <w:rPr>
                          <w:b/>
                        </w:rPr>
                        <w:t>Summary</w:t>
                      </w:r>
                    </w:p>
                    <w:p w14:paraId="1907CF9F" w14:textId="0726B738" w:rsidR="00030057" w:rsidRDefault="00030057" w:rsidP="00EB59B3">
                      <w:pPr>
                        <w:spacing w:after="0"/>
                      </w:pPr>
                      <w:r>
                        <w:t>The EAAFP Technical sub-Committee was formally established by MOP10 (2018) Decision 4.</w:t>
                      </w:r>
                    </w:p>
                    <w:p w14:paraId="43CEB47D" w14:textId="77777777" w:rsidR="00030057" w:rsidRDefault="00030057" w:rsidP="00EB59B3">
                      <w:pPr>
                        <w:spacing w:after="0"/>
                      </w:pPr>
                    </w:p>
                    <w:p w14:paraId="5D689187" w14:textId="5BB4D7FC" w:rsidR="000B6DC2" w:rsidRDefault="00030057" w:rsidP="00EB59B3">
                      <w:pPr>
                        <w:spacing w:after="0"/>
                      </w:pPr>
                      <w:r w:rsidRPr="00030057">
                        <w:t>Members of</w:t>
                      </w:r>
                      <w:r>
                        <w:t xml:space="preserve"> the EAAFP Technical sub-Committee are nominated by EAAFP Partners and appointed by Partners at each MOP.</w:t>
                      </w:r>
                    </w:p>
                    <w:p w14:paraId="69BC1EEC" w14:textId="70FB3E2A" w:rsidR="00030057" w:rsidRDefault="00030057" w:rsidP="00EB59B3">
                      <w:pPr>
                        <w:spacing w:after="0"/>
                      </w:pPr>
                    </w:p>
                    <w:p w14:paraId="718CC9D1" w14:textId="48EA4C3F" w:rsidR="00030057" w:rsidRDefault="00030057" w:rsidP="00EB59B3">
                      <w:pPr>
                        <w:spacing w:after="0"/>
                      </w:pPr>
                      <w:r>
                        <w:t xml:space="preserve">A call for nominations </w:t>
                      </w:r>
                      <w:r w:rsidR="001C1729">
                        <w:t>for appointment to</w:t>
                      </w:r>
                      <w:r>
                        <w:t xml:space="preserve"> the </w:t>
                      </w:r>
                      <w:proofErr w:type="spellStart"/>
                      <w:r>
                        <w:t>TsC</w:t>
                      </w:r>
                      <w:proofErr w:type="spellEnd"/>
                      <w:r>
                        <w:t xml:space="preserve"> 2023-2025 was issued by the EAAFP Secretariat in December 2022.</w:t>
                      </w:r>
                    </w:p>
                    <w:p w14:paraId="35FF77EB" w14:textId="24A8380E" w:rsidR="00030057" w:rsidRDefault="00030057" w:rsidP="00EB59B3">
                      <w:pPr>
                        <w:spacing w:after="0"/>
                      </w:pPr>
                    </w:p>
                    <w:p w14:paraId="647B4813" w14:textId="65061C0A" w:rsidR="00030057" w:rsidRDefault="00030057" w:rsidP="00EB59B3">
                      <w:pPr>
                        <w:spacing w:after="0"/>
                      </w:pPr>
                      <w:r>
                        <w:t>An Information paper listing all nominations fo</w:t>
                      </w:r>
                      <w:r w:rsidR="001C1729">
                        <w:t>r the</w:t>
                      </w:r>
                      <w:r>
                        <w:t xml:space="preserve"> </w:t>
                      </w:r>
                      <w:proofErr w:type="spellStart"/>
                      <w:r>
                        <w:t>TsC</w:t>
                      </w:r>
                      <w:proofErr w:type="spellEnd"/>
                      <w:r>
                        <w:t xml:space="preserve"> 2023-2025 appointment will be issued prior to MOP11.</w:t>
                      </w:r>
                    </w:p>
                    <w:p w14:paraId="61202EAC" w14:textId="2AAB71C0" w:rsidR="00030057" w:rsidRDefault="00030057" w:rsidP="00EB59B3">
                      <w:pPr>
                        <w:spacing w:after="0"/>
                      </w:pPr>
                    </w:p>
                    <w:p w14:paraId="0E37907F" w14:textId="7F9684EE" w:rsidR="00030057" w:rsidRPr="00030057" w:rsidRDefault="00030057" w:rsidP="00EB59B3">
                      <w:pPr>
                        <w:spacing w:after="0"/>
                      </w:pPr>
                      <w:r>
                        <w:t xml:space="preserve">On the basis of nominations received, EAAFP Partners will be invited to approve appointments to the </w:t>
                      </w:r>
                      <w:proofErr w:type="spellStart"/>
                      <w:r>
                        <w:t>TsC</w:t>
                      </w:r>
                      <w:proofErr w:type="spellEnd"/>
                      <w:r>
                        <w:t xml:space="preserve"> 2023-2025 during MOP11 (March 2023).</w:t>
                      </w:r>
                    </w:p>
                    <w:p w14:paraId="08BDF567" w14:textId="4B961746" w:rsidR="00A515B6" w:rsidRPr="00C52B20" w:rsidRDefault="00A515B6" w:rsidP="00141BC5">
                      <w:pPr>
                        <w:spacing w:after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D4293" w:rsidRPr="00FC553E">
        <w:rPr>
          <w:i/>
        </w:rPr>
        <w:t xml:space="preserve">Submitted by </w:t>
      </w:r>
      <w:r w:rsidR="00EB4FF8">
        <w:rPr>
          <w:i/>
        </w:rPr>
        <w:t xml:space="preserve">EAAFP </w:t>
      </w:r>
      <w:r w:rsidR="00122602">
        <w:rPr>
          <w:i/>
        </w:rPr>
        <w:t>Secretariat</w:t>
      </w:r>
    </w:p>
    <w:p w14:paraId="75E04636" w14:textId="5CEF98FE" w:rsidR="001E739A" w:rsidRPr="002341DB" w:rsidRDefault="001E739A" w:rsidP="002341DB">
      <w:pPr>
        <w:spacing w:after="0"/>
      </w:pPr>
    </w:p>
    <w:p w14:paraId="03248E82" w14:textId="2D88849B" w:rsidR="001E739A" w:rsidRPr="0042697B" w:rsidRDefault="006D2EA0" w:rsidP="006D2EA0">
      <w:pPr>
        <w:rPr>
          <w:rFonts w:cstheme="minorHAnsi"/>
          <w:b/>
          <w:sz w:val="24"/>
          <w:szCs w:val="24"/>
        </w:rPr>
      </w:pPr>
      <w:r w:rsidRPr="0042697B">
        <w:rPr>
          <w:rFonts w:cstheme="minorHAnsi"/>
          <w:b/>
          <w:sz w:val="24"/>
          <w:szCs w:val="24"/>
        </w:rPr>
        <w:t>Background</w:t>
      </w:r>
    </w:p>
    <w:p w14:paraId="505234B8" w14:textId="5D859340" w:rsidR="00122602" w:rsidRDefault="002F7649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122602">
        <w:rPr>
          <w:rFonts w:cstheme="minorHAnsi"/>
          <w:bCs/>
        </w:rPr>
        <w:t xml:space="preserve">EAAFP </w:t>
      </w:r>
      <w:r>
        <w:rPr>
          <w:rFonts w:cstheme="minorHAnsi"/>
          <w:bCs/>
        </w:rPr>
        <w:t>Technical sub-Committee</w:t>
      </w:r>
      <w:r w:rsidR="00122602">
        <w:rPr>
          <w:rFonts w:cstheme="minorHAnsi"/>
          <w:bCs/>
        </w:rPr>
        <w:t xml:space="preserve"> (TsC) was formally established by MOP10 Decision 4.</w:t>
      </w:r>
    </w:p>
    <w:p w14:paraId="07A5F5F0" w14:textId="77777777" w:rsidR="00122602" w:rsidRDefault="00122602" w:rsidP="00B257C7">
      <w:pPr>
        <w:pStyle w:val="ListParagraph"/>
        <w:ind w:left="360" w:hanging="360"/>
        <w:rPr>
          <w:rFonts w:cstheme="minorHAnsi"/>
          <w:bCs/>
        </w:rPr>
      </w:pPr>
    </w:p>
    <w:p w14:paraId="088BDB6E" w14:textId="50A0D1DF" w:rsidR="00122602" w:rsidRDefault="00122602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Under its Terms of Reference and Rules of Procedure</w:t>
      </w:r>
      <w:r w:rsidR="005A4658">
        <w:rPr>
          <w:rFonts w:cstheme="minorHAnsi"/>
          <w:bCs/>
        </w:rPr>
        <w:t xml:space="preserve"> (MOP10 decision 4)</w:t>
      </w:r>
      <w:r>
        <w:rPr>
          <w:rFonts w:cstheme="minorHAnsi"/>
          <w:bCs/>
        </w:rPr>
        <w:t xml:space="preserve">, the membership of the TsC is </w:t>
      </w:r>
      <w:r w:rsidR="005A4658">
        <w:rPr>
          <w:rFonts w:cstheme="minorHAnsi"/>
          <w:bCs/>
        </w:rPr>
        <w:t xml:space="preserve">composed of </w:t>
      </w:r>
      <w:r>
        <w:rPr>
          <w:rFonts w:cstheme="minorHAnsi"/>
          <w:bCs/>
        </w:rPr>
        <w:t>up to 10 migratory waterbird and wetland experts, appointed in their own right for their relevant expertise.</w:t>
      </w:r>
    </w:p>
    <w:p w14:paraId="2837BD71" w14:textId="77777777" w:rsidR="00122602" w:rsidRDefault="00122602" w:rsidP="00B257C7">
      <w:pPr>
        <w:pStyle w:val="ListParagraph"/>
        <w:ind w:left="360" w:hanging="360"/>
        <w:rPr>
          <w:rFonts w:cstheme="minorHAnsi"/>
          <w:bCs/>
        </w:rPr>
      </w:pPr>
    </w:p>
    <w:p w14:paraId="5AFB6399" w14:textId="168E16E5" w:rsidR="00BC33EA" w:rsidRPr="00BC33EA" w:rsidRDefault="00122602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TsC members are </w:t>
      </w:r>
      <w:r w:rsidR="00AB02C2">
        <w:rPr>
          <w:rFonts w:cstheme="minorHAnsi"/>
          <w:bCs/>
        </w:rPr>
        <w:t>nominated by EAAFP Partners</w:t>
      </w:r>
      <w:r w:rsidR="00526742">
        <w:rPr>
          <w:rFonts w:cstheme="minorHAnsi"/>
          <w:bCs/>
        </w:rPr>
        <w:t>,</w:t>
      </w:r>
      <w:r w:rsidR="00AB02C2">
        <w:rPr>
          <w:rFonts w:cstheme="minorHAnsi"/>
          <w:bCs/>
        </w:rPr>
        <w:t xml:space="preserve"> and are </w:t>
      </w:r>
      <w:r w:rsidR="005A4658">
        <w:rPr>
          <w:rFonts w:cstheme="minorHAnsi"/>
          <w:bCs/>
        </w:rPr>
        <w:t xml:space="preserve">then </w:t>
      </w:r>
      <w:r>
        <w:rPr>
          <w:rFonts w:cstheme="minorHAnsi"/>
          <w:bCs/>
        </w:rPr>
        <w:t>appointed by Partners at each MOP.</w:t>
      </w:r>
    </w:p>
    <w:p w14:paraId="2A5C848E" w14:textId="77777777" w:rsidR="00122602" w:rsidRDefault="00122602" w:rsidP="00B257C7">
      <w:pPr>
        <w:pStyle w:val="ListParagraph"/>
        <w:ind w:left="360" w:hanging="360"/>
        <w:rPr>
          <w:rFonts w:cstheme="minorHAnsi"/>
          <w:bCs/>
        </w:rPr>
      </w:pPr>
    </w:p>
    <w:p w14:paraId="7C13269E" w14:textId="24704E11" w:rsidR="00BC33EA" w:rsidRDefault="00414CD3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Although there is no </w:t>
      </w:r>
      <w:r w:rsidR="004C083D">
        <w:rPr>
          <w:rFonts w:cstheme="minorHAnsi"/>
          <w:bCs/>
        </w:rPr>
        <w:t xml:space="preserve">specific </w:t>
      </w:r>
      <w:r>
        <w:rPr>
          <w:rFonts w:cstheme="minorHAnsi"/>
          <w:bCs/>
        </w:rPr>
        <w:t xml:space="preserve">guidance </w:t>
      </w:r>
      <w:r w:rsidR="00DD20EF">
        <w:rPr>
          <w:rFonts w:cstheme="minorHAnsi"/>
          <w:bCs/>
        </w:rPr>
        <w:t>in</w:t>
      </w:r>
      <w:r>
        <w:rPr>
          <w:rFonts w:cstheme="minorHAnsi"/>
          <w:bCs/>
        </w:rPr>
        <w:t xml:space="preserve"> the MOP10-adopted Decision 4 concerning re-appointments to </w:t>
      </w:r>
      <w:r w:rsidR="00DD20EF">
        <w:rPr>
          <w:rFonts w:cstheme="minorHAnsi"/>
          <w:bCs/>
        </w:rPr>
        <w:t xml:space="preserve">the </w:t>
      </w:r>
      <w:r>
        <w:rPr>
          <w:rFonts w:cstheme="minorHAnsi"/>
          <w:bCs/>
        </w:rPr>
        <w:t xml:space="preserve">TsC, where appropriate Partners are encouraged to propose such re-nominations so as to have </w:t>
      </w:r>
      <w:r w:rsidR="00DD20EF">
        <w:rPr>
          <w:rFonts w:cstheme="minorHAnsi"/>
          <w:bCs/>
        </w:rPr>
        <w:t xml:space="preserve">a </w:t>
      </w:r>
      <w:r>
        <w:rPr>
          <w:rFonts w:cstheme="minorHAnsi"/>
          <w:bCs/>
        </w:rPr>
        <w:t>continuity of TsC membership.</w:t>
      </w:r>
    </w:p>
    <w:p w14:paraId="4F756920" w14:textId="77777777" w:rsidR="00BC33EA" w:rsidRDefault="00BC33EA" w:rsidP="00B257C7">
      <w:pPr>
        <w:pStyle w:val="ListParagraph"/>
        <w:ind w:left="360" w:hanging="360"/>
        <w:rPr>
          <w:rFonts w:cstheme="minorHAnsi"/>
          <w:bCs/>
        </w:rPr>
      </w:pPr>
    </w:p>
    <w:p w14:paraId="7C7DE873" w14:textId="05BD6FC4" w:rsidR="00122602" w:rsidRDefault="00BC33EA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A call to Partners for nominations for appointment to the TsC for 2023-2025 has been issued by the EAAFP Secretariat in early December 2022. It is anticipated that the deadline for such nominations will be extended to the end of January 2023.</w:t>
      </w:r>
    </w:p>
    <w:p w14:paraId="42FA054C" w14:textId="77777777" w:rsidR="00BC33EA" w:rsidRDefault="00BC33EA" w:rsidP="00B257C7">
      <w:pPr>
        <w:pStyle w:val="ListParagraph"/>
        <w:ind w:left="360" w:hanging="360"/>
        <w:rPr>
          <w:rFonts w:cstheme="minorHAnsi"/>
          <w:bCs/>
        </w:rPr>
      </w:pPr>
    </w:p>
    <w:p w14:paraId="3DB9BE6E" w14:textId="775E6C39" w:rsidR="00122602" w:rsidRDefault="00BC33EA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lastRenderedPageBreak/>
        <w:t>After this deadline, the EAAFP Secretariat will issue a MOP11 Information paper listing all Partner nominations received, as a basis for Partners at MOP11 deciding which waterbird and wetlands experts to appoint to the TsC.</w:t>
      </w:r>
    </w:p>
    <w:p w14:paraId="29347D28" w14:textId="77777777" w:rsidR="00122602" w:rsidRDefault="00122602" w:rsidP="00B257C7">
      <w:pPr>
        <w:pStyle w:val="ListParagraph"/>
        <w:ind w:left="360" w:hanging="360"/>
        <w:rPr>
          <w:rFonts w:cstheme="minorHAnsi"/>
          <w:bCs/>
        </w:rPr>
      </w:pPr>
    </w:p>
    <w:p w14:paraId="16977852" w14:textId="6425D547" w:rsidR="00122602" w:rsidRDefault="0021647B" w:rsidP="00B257C7">
      <w:pPr>
        <w:pStyle w:val="ListParagraph"/>
        <w:numPr>
          <w:ilvl w:val="0"/>
          <w:numId w:val="28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If more than 10 nominations for TsC membership are received </w:t>
      </w:r>
      <w:r w:rsidR="00505A68">
        <w:rPr>
          <w:rFonts w:cstheme="minorHAnsi"/>
          <w:bCs/>
        </w:rPr>
        <w:t xml:space="preserve">from Partners </w:t>
      </w:r>
      <w:r>
        <w:rPr>
          <w:rFonts w:cstheme="minorHAnsi"/>
          <w:bCs/>
        </w:rPr>
        <w:t>by the established nomination deadline, the Secretariat will establish a voting mechanism at MOP11 for confirming TsC appointments for 2023-2025.</w:t>
      </w:r>
    </w:p>
    <w:p w14:paraId="5D3735B3" w14:textId="77777777" w:rsidR="00C70655" w:rsidRDefault="00C70655" w:rsidP="00C70655">
      <w:pPr>
        <w:rPr>
          <w:rFonts w:cstheme="minorHAnsi"/>
          <w:b/>
          <w:sz w:val="24"/>
          <w:szCs w:val="24"/>
        </w:rPr>
      </w:pPr>
    </w:p>
    <w:p w14:paraId="576A311A" w14:textId="77777777" w:rsidR="00B257C7" w:rsidRDefault="00C70655" w:rsidP="00C7065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Decision:</w:t>
      </w:r>
      <w:r w:rsidR="00FC4B90">
        <w:rPr>
          <w:rFonts w:cstheme="minorHAnsi"/>
          <w:b/>
          <w:sz w:val="24"/>
          <w:szCs w:val="24"/>
        </w:rPr>
        <w:t xml:space="preserve"> </w:t>
      </w:r>
    </w:p>
    <w:p w14:paraId="4C15E1E6" w14:textId="38F984D8" w:rsidR="00C70655" w:rsidRPr="00B257C7" w:rsidRDefault="00D96565" w:rsidP="00B257C7">
      <w:pPr>
        <w:pStyle w:val="ListParagraph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 w:rsidRPr="00B257C7">
        <w:rPr>
          <w:rFonts w:cstheme="minorHAnsi"/>
          <w:bCs/>
          <w:sz w:val="24"/>
          <w:szCs w:val="24"/>
        </w:rPr>
        <w:t xml:space="preserve">Partners at </w:t>
      </w:r>
      <w:r w:rsidR="00FC4B90" w:rsidRPr="00B257C7">
        <w:rPr>
          <w:rFonts w:cstheme="minorHAnsi"/>
          <w:bCs/>
          <w:sz w:val="24"/>
          <w:szCs w:val="24"/>
        </w:rPr>
        <w:t xml:space="preserve">MOP11 </w:t>
      </w:r>
      <w:r w:rsidRPr="00B257C7">
        <w:rPr>
          <w:rFonts w:cstheme="minorHAnsi"/>
          <w:bCs/>
          <w:sz w:val="24"/>
          <w:szCs w:val="24"/>
        </w:rPr>
        <w:t>are</w:t>
      </w:r>
      <w:r w:rsidR="00FC4B90" w:rsidRPr="00B257C7">
        <w:rPr>
          <w:rFonts w:cstheme="minorHAnsi"/>
          <w:bCs/>
          <w:sz w:val="24"/>
          <w:szCs w:val="24"/>
        </w:rPr>
        <w:t xml:space="preserve"> invited to approve the </w:t>
      </w:r>
      <w:r w:rsidR="003A7138" w:rsidRPr="00B257C7">
        <w:rPr>
          <w:rFonts w:cstheme="minorHAnsi"/>
          <w:bCs/>
          <w:sz w:val="24"/>
          <w:szCs w:val="24"/>
        </w:rPr>
        <w:t>appointment of Technical sub-Committee members for 2023-2025</w:t>
      </w:r>
    </w:p>
    <w:p w14:paraId="24BBF8F0" w14:textId="591CB899" w:rsidR="001E739A" w:rsidRDefault="001E739A" w:rsidP="00C70655">
      <w:pPr>
        <w:rPr>
          <w:rFonts w:cstheme="minorHAnsi"/>
          <w:b/>
          <w:sz w:val="24"/>
          <w:szCs w:val="24"/>
        </w:rPr>
      </w:pPr>
    </w:p>
    <w:p w14:paraId="3DE2ADCF" w14:textId="3C32AB14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7ED9DFAD" w14:textId="0766DFA5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109E70B8" w14:textId="29570A07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0B287774" w14:textId="2A7B4681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564C8087" w14:textId="4FEBA7B0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1E8CF351" w14:textId="205F1EE1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7C3056E8" w14:textId="6582F2D2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6BAA5BE5" w14:textId="019458D5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33208193" w14:textId="0117C5F7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08124061" w14:textId="3F3C8871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104B316B" w14:textId="2FB38B99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15FF2921" w14:textId="78D98178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4B48D86C" w14:textId="44A37C94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4EEF0F55" w14:textId="442C1A5A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6AFBCCCE" w14:textId="58ECDA12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1176B949" w14:textId="12AEE9B5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5DFC655D" w14:textId="77777777" w:rsidR="00B257C7" w:rsidRDefault="00B257C7" w:rsidP="00C70655">
      <w:pPr>
        <w:rPr>
          <w:rFonts w:cstheme="minorHAnsi"/>
          <w:b/>
          <w:sz w:val="24"/>
          <w:szCs w:val="24"/>
        </w:rPr>
      </w:pPr>
    </w:p>
    <w:p w14:paraId="46DC1BF9" w14:textId="6B4A54D0" w:rsidR="000E1F0E" w:rsidRDefault="000E1F0E" w:rsidP="00A108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Annex 1</w:t>
      </w:r>
    </w:p>
    <w:p w14:paraId="38D7640F" w14:textId="77777777" w:rsidR="000E1F0E" w:rsidRDefault="000E1F0E" w:rsidP="00A108A2">
      <w:pPr>
        <w:jc w:val="center"/>
        <w:rPr>
          <w:rFonts w:cstheme="minorHAnsi"/>
          <w:b/>
          <w:sz w:val="28"/>
          <w:szCs w:val="28"/>
        </w:rPr>
      </w:pPr>
    </w:p>
    <w:p w14:paraId="25D8D80D" w14:textId="755A1944" w:rsidR="00810F35" w:rsidRDefault="00810F35" w:rsidP="00A108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Draft Decision </w:t>
      </w:r>
      <w:r w:rsidR="00C9121D">
        <w:rPr>
          <w:rFonts w:cstheme="minorHAnsi"/>
          <w:b/>
          <w:sz w:val="28"/>
          <w:szCs w:val="28"/>
        </w:rPr>
        <w:t>4</w:t>
      </w:r>
    </w:p>
    <w:p w14:paraId="63095503" w14:textId="29E1B10D" w:rsidR="004C6383" w:rsidRDefault="00915003" w:rsidP="004C63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Appointment of the EAAFP Technical sub-Committee members for 2023-2025</w:t>
      </w:r>
    </w:p>
    <w:p w14:paraId="525212D1" w14:textId="77777777" w:rsidR="00B257C7" w:rsidRDefault="00B257C7" w:rsidP="004C6383">
      <w:pPr>
        <w:spacing w:after="0"/>
        <w:jc w:val="center"/>
        <w:rPr>
          <w:b/>
          <w:sz w:val="28"/>
          <w:szCs w:val="28"/>
        </w:rPr>
      </w:pPr>
    </w:p>
    <w:p w14:paraId="32D8B4C7" w14:textId="77777777" w:rsidR="00B257C7" w:rsidRDefault="00B257C7" w:rsidP="004C6383">
      <w:pPr>
        <w:spacing w:after="0"/>
        <w:rPr>
          <w:i/>
        </w:rPr>
      </w:pPr>
    </w:p>
    <w:p w14:paraId="18DA4029" w14:textId="31A8C6A0" w:rsidR="004C6383" w:rsidRDefault="004C6383" w:rsidP="004C6383">
      <w:pPr>
        <w:spacing w:after="0"/>
        <w:rPr>
          <w:i/>
        </w:rPr>
      </w:pPr>
      <w:r w:rsidRPr="00FC553E">
        <w:rPr>
          <w:i/>
        </w:rPr>
        <w:t xml:space="preserve">Submitted by </w:t>
      </w:r>
      <w:r>
        <w:rPr>
          <w:i/>
        </w:rPr>
        <w:t xml:space="preserve">EAAFP </w:t>
      </w:r>
      <w:r w:rsidR="00915003">
        <w:rPr>
          <w:i/>
        </w:rPr>
        <w:t>Secretariat</w:t>
      </w:r>
    </w:p>
    <w:p w14:paraId="681526B0" w14:textId="77777777" w:rsidR="00810F35" w:rsidRDefault="00810F35" w:rsidP="00810F35">
      <w:pPr>
        <w:spacing w:after="0"/>
        <w:rPr>
          <w:i/>
        </w:rPr>
      </w:pPr>
    </w:p>
    <w:p w14:paraId="0FEF6C84" w14:textId="5F163773" w:rsidR="0097194C" w:rsidRDefault="00810F35" w:rsidP="00810F35">
      <w:pPr>
        <w:spacing w:after="0"/>
      </w:pPr>
      <w:r w:rsidRPr="0097194C">
        <w:rPr>
          <w:i/>
        </w:rPr>
        <w:t>Recalling</w:t>
      </w:r>
      <w:r w:rsidR="005A6D3A" w:rsidRPr="00B230FE">
        <w:t xml:space="preserve"> that </w:t>
      </w:r>
      <w:r w:rsidR="0097194C">
        <w:t xml:space="preserve">under the terms of MOP10 Decision 4, candidates for membership of </w:t>
      </w:r>
      <w:r w:rsidR="005A6D3A" w:rsidRPr="00B230FE">
        <w:t>the EAAFP Technical sub-Committee</w:t>
      </w:r>
      <w:r w:rsidR="0097194C">
        <w:t xml:space="preserve"> are nominated by Partners, and that the TsC membership is appointed by Partners at each MOP; </w:t>
      </w:r>
    </w:p>
    <w:p w14:paraId="725A1B8E" w14:textId="05DFFC31" w:rsidR="00E0707E" w:rsidRDefault="00E0707E" w:rsidP="00810F35">
      <w:pPr>
        <w:spacing w:after="0"/>
      </w:pPr>
    </w:p>
    <w:p w14:paraId="7CDAA2F6" w14:textId="2B7BE055" w:rsidR="00E0707E" w:rsidRDefault="00E0707E" w:rsidP="00810F35">
      <w:pPr>
        <w:spacing w:after="0"/>
      </w:pPr>
      <w:r w:rsidRPr="00B257C7">
        <w:rPr>
          <w:i/>
          <w:iCs/>
        </w:rPr>
        <w:t>Thanking</w:t>
      </w:r>
      <w:r>
        <w:t xml:space="preserve"> the Technical sub-Committee for its advice and guidance work to the Partnership since 2018;</w:t>
      </w:r>
    </w:p>
    <w:p w14:paraId="2A4D8DBD" w14:textId="7C4344E7" w:rsidR="0097194C" w:rsidRDefault="0097194C" w:rsidP="00810F35">
      <w:pPr>
        <w:spacing w:after="0"/>
      </w:pPr>
    </w:p>
    <w:p w14:paraId="3BB7496E" w14:textId="258C36D0" w:rsidR="0097194C" w:rsidRDefault="0097194C" w:rsidP="00810F35">
      <w:pPr>
        <w:spacing w:after="0"/>
      </w:pPr>
      <w:r w:rsidRPr="0097194C">
        <w:rPr>
          <w:i/>
        </w:rPr>
        <w:t>Thanking</w:t>
      </w:r>
      <w:r>
        <w:t xml:space="preserve"> Partners for their nominations for Technical sub-Committee membership for 2023-2025; and</w:t>
      </w:r>
    </w:p>
    <w:p w14:paraId="0F1F9F95" w14:textId="4B39DEAF" w:rsidR="0097194C" w:rsidRDefault="0097194C" w:rsidP="00810F35">
      <w:pPr>
        <w:spacing w:after="0"/>
      </w:pPr>
    </w:p>
    <w:p w14:paraId="0620CB53" w14:textId="560F190C" w:rsidR="0097194C" w:rsidRDefault="0097194C" w:rsidP="00810F35">
      <w:pPr>
        <w:spacing w:after="0"/>
      </w:pPr>
      <w:r w:rsidRPr="0097194C">
        <w:rPr>
          <w:i/>
        </w:rPr>
        <w:t>Noting</w:t>
      </w:r>
      <w:r>
        <w:t xml:space="preserve"> that the Chair and Vice-Chair of the Technical sub-Committee will be agreed by members of the TsC ,as soon as possible following their appointment by MOP11.</w:t>
      </w:r>
    </w:p>
    <w:p w14:paraId="726DBD9A" w14:textId="77BB4F0A" w:rsidR="000C0D27" w:rsidRDefault="000C0D27" w:rsidP="00810F35">
      <w:pPr>
        <w:spacing w:after="0"/>
        <w:rPr>
          <w:rFonts w:ascii="Calibri" w:hAnsi="Calibri" w:cs="Calibri"/>
        </w:rPr>
      </w:pPr>
    </w:p>
    <w:p w14:paraId="67D4354E" w14:textId="77777777" w:rsidR="00B257C7" w:rsidRPr="00B257C7" w:rsidRDefault="00B257C7" w:rsidP="00810F35">
      <w:pPr>
        <w:spacing w:after="0"/>
        <w:rPr>
          <w:rFonts w:ascii="Calibri" w:hAnsi="Calibri" w:cs="Calibri"/>
        </w:rPr>
      </w:pPr>
    </w:p>
    <w:p w14:paraId="5CCEA0F1" w14:textId="1CE0881E" w:rsidR="00810F35" w:rsidRPr="00504654" w:rsidRDefault="00810F35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rFonts w:cs="Arial"/>
        </w:rPr>
      </w:pPr>
      <w:r w:rsidRPr="00504654">
        <w:rPr>
          <w:rFonts w:cs="Arial"/>
        </w:rPr>
        <w:t>The 11</w:t>
      </w:r>
      <w:r w:rsidRPr="00504654">
        <w:rPr>
          <w:rFonts w:cs="Arial"/>
          <w:vertAlign w:val="superscript"/>
        </w:rPr>
        <w:t>th</w:t>
      </w:r>
      <w:r w:rsidRPr="00504654">
        <w:rPr>
          <w:rFonts w:cs="Arial"/>
        </w:rPr>
        <w:t xml:space="preserve"> Meeting of Partners </w:t>
      </w:r>
    </w:p>
    <w:p w14:paraId="7E012300" w14:textId="3C1F2A1C" w:rsidR="00810F35" w:rsidRPr="00504654" w:rsidRDefault="00810F35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rFonts w:cs="Arial"/>
        </w:rPr>
      </w:pPr>
      <w:r w:rsidRPr="00504654">
        <w:rPr>
          <w:rFonts w:cs="Arial"/>
        </w:rPr>
        <w:t>of the East Asian – Australasian Flyway Partnership</w:t>
      </w:r>
    </w:p>
    <w:p w14:paraId="3B87FAF9" w14:textId="530DE925" w:rsidR="0042697B" w:rsidRDefault="0042697B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</w:pPr>
    </w:p>
    <w:p w14:paraId="57B61B4A" w14:textId="77777777" w:rsidR="00B257C7" w:rsidRPr="00B230FE" w:rsidRDefault="00B257C7" w:rsidP="00810F35">
      <w:pPr>
        <w:pStyle w:val="ListBullet"/>
        <w:numPr>
          <w:ilvl w:val="0"/>
          <w:numId w:val="0"/>
        </w:numPr>
        <w:spacing w:after="0"/>
        <w:ind w:left="369" w:hanging="369"/>
        <w:jc w:val="center"/>
      </w:pPr>
    </w:p>
    <w:p w14:paraId="142A997B" w14:textId="7081241F" w:rsidR="00FF12ED" w:rsidRDefault="00FF12ED" w:rsidP="00B257C7">
      <w:pPr>
        <w:pStyle w:val="ListParagraph"/>
        <w:numPr>
          <w:ilvl w:val="0"/>
          <w:numId w:val="30"/>
        </w:numPr>
        <w:ind w:left="360"/>
      </w:pPr>
      <w:r w:rsidRPr="00B257C7">
        <w:rPr>
          <w:i/>
          <w:iCs/>
        </w:rPr>
        <w:t>Appoints</w:t>
      </w:r>
      <w:r>
        <w:t xml:space="preserve"> the following waterbird and wetland experts as members of the EAAFP Technical sub-Committee for the 2023-2025 period:</w:t>
      </w:r>
    </w:p>
    <w:p w14:paraId="03663E1B" w14:textId="663A2DE8" w:rsidR="006372C8" w:rsidRPr="00504654" w:rsidRDefault="006C19BA" w:rsidP="00B257C7">
      <w:pPr>
        <w:ind w:left="360" w:hanging="360"/>
        <w:rPr>
          <w:i/>
          <w:iCs/>
          <w:u w:val="single"/>
        </w:rPr>
      </w:pPr>
      <w:r w:rsidRPr="00504654">
        <w:rPr>
          <w:i/>
          <w:iCs/>
          <w:u w:val="single"/>
        </w:rPr>
        <w:t xml:space="preserve">[list of appointments to be added after MOP11 </w:t>
      </w:r>
      <w:r w:rsidR="00636909" w:rsidRPr="00504654">
        <w:rPr>
          <w:i/>
          <w:iCs/>
          <w:u w:val="single"/>
        </w:rPr>
        <w:t xml:space="preserve">`Partners’ </w:t>
      </w:r>
      <w:r w:rsidRPr="00504654">
        <w:rPr>
          <w:i/>
          <w:iCs/>
          <w:u w:val="single"/>
        </w:rPr>
        <w:t>approval]</w:t>
      </w:r>
    </w:p>
    <w:sectPr w:rsidR="006372C8" w:rsidRPr="00504654" w:rsidSect="0042697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AABD" w14:textId="77777777" w:rsidR="00966B3E" w:rsidRDefault="00966B3E" w:rsidP="00647AB3">
      <w:pPr>
        <w:spacing w:after="0" w:line="240" w:lineRule="auto"/>
      </w:pPr>
      <w:r>
        <w:separator/>
      </w:r>
    </w:p>
  </w:endnote>
  <w:endnote w:type="continuationSeparator" w:id="0">
    <w:p w14:paraId="6C4D8DE9" w14:textId="77777777" w:rsidR="00966B3E" w:rsidRDefault="00966B3E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58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F6B2" w14:textId="0F0858DB" w:rsidR="002A3262" w:rsidRDefault="002A3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EDA68" w14:textId="77777777" w:rsidR="002A3262" w:rsidRDefault="002A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0F04" w14:textId="77777777" w:rsidR="00966B3E" w:rsidRDefault="00966B3E" w:rsidP="00647AB3">
      <w:pPr>
        <w:spacing w:after="0" w:line="240" w:lineRule="auto"/>
      </w:pPr>
      <w:r>
        <w:separator/>
      </w:r>
    </w:p>
  </w:footnote>
  <w:footnote w:type="continuationSeparator" w:id="0">
    <w:p w14:paraId="6ED5650C" w14:textId="77777777" w:rsidR="00966B3E" w:rsidRDefault="00966B3E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44B3" w14:textId="43600C3B" w:rsidR="002A3262" w:rsidRPr="005027AC" w:rsidRDefault="002A3262" w:rsidP="00640A03">
    <w:pPr>
      <w:pStyle w:val="Header"/>
      <w:pBdr>
        <w:bottom w:val="single" w:sz="4" w:space="1" w:color="auto"/>
      </w:pBdr>
      <w:rPr>
        <w:rFonts w:cs="Arial"/>
        <w:i/>
        <w:color w:val="2F5496" w:themeColor="accent1" w:themeShade="BF"/>
        <w:szCs w:val="18"/>
        <w:lang w:val="de-DE"/>
      </w:rPr>
    </w:pPr>
    <w:bookmarkStart w:id="0" w:name="_Hlk523719439"/>
    <w:r>
      <w:rPr>
        <w:rFonts w:cs="Arial"/>
        <w:i/>
        <w:szCs w:val="18"/>
        <w:lang w:val="de-DE"/>
      </w:rPr>
      <w:t>EAAFP/MOP1</w:t>
    </w:r>
    <w:r w:rsidR="004D1121">
      <w:rPr>
        <w:rFonts w:cs="Arial"/>
        <w:i/>
        <w:szCs w:val="18"/>
        <w:lang w:val="de-DE"/>
      </w:rPr>
      <w:t>1</w:t>
    </w:r>
    <w:r>
      <w:rPr>
        <w:rFonts w:cs="Arial"/>
        <w:i/>
        <w:szCs w:val="18"/>
        <w:lang w:val="de-DE"/>
      </w:rPr>
      <w:t>/Draf</w:t>
    </w:r>
    <w:r w:rsidRPr="00A108A2">
      <w:rPr>
        <w:rFonts w:cs="Arial"/>
        <w:i/>
        <w:szCs w:val="18"/>
        <w:lang w:val="de-DE"/>
      </w:rPr>
      <w:t>t Decision</w:t>
    </w:r>
    <w:r w:rsidR="00C31066" w:rsidRPr="00A108A2">
      <w:rPr>
        <w:rFonts w:cs="Arial"/>
        <w:i/>
        <w:szCs w:val="18"/>
        <w:lang w:val="de-DE"/>
      </w:rPr>
      <w:t xml:space="preserve"> </w:t>
    </w:r>
    <w:r w:rsidR="00C9121D">
      <w:rPr>
        <w:rFonts w:cs="Arial"/>
        <w:i/>
        <w:szCs w:val="18"/>
        <w:lang w:val="de-DE"/>
      </w:rPr>
      <w:t>4</w:t>
    </w:r>
  </w:p>
  <w:bookmarkEnd w:id="0"/>
  <w:p w14:paraId="10319CA8" w14:textId="77777777" w:rsidR="002A3262" w:rsidRDefault="002A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7B3F2"/>
    <w:multiLevelType w:val="hybridMultilevel"/>
    <w:tmpl w:val="E0E0D8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18BA"/>
    <w:multiLevelType w:val="hybridMultilevel"/>
    <w:tmpl w:val="A40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13A"/>
    <w:multiLevelType w:val="hybridMultilevel"/>
    <w:tmpl w:val="8AB26956"/>
    <w:lvl w:ilvl="0" w:tplc="80163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1A7"/>
    <w:multiLevelType w:val="hybridMultilevel"/>
    <w:tmpl w:val="82184FBA"/>
    <w:lvl w:ilvl="0" w:tplc="14F69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689E"/>
    <w:multiLevelType w:val="hybridMultilevel"/>
    <w:tmpl w:val="CDA491BA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7B1017"/>
    <w:multiLevelType w:val="hybridMultilevel"/>
    <w:tmpl w:val="C5FAA60E"/>
    <w:lvl w:ilvl="0" w:tplc="05F6F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45BC2"/>
    <w:multiLevelType w:val="multilevel"/>
    <w:tmpl w:val="E5E89F92"/>
    <w:numStyleLink w:val="BulletList"/>
  </w:abstractNum>
  <w:abstractNum w:abstractNumId="11" w15:restartNumberingAfterBreak="0">
    <w:nsid w:val="24330216"/>
    <w:multiLevelType w:val="hybridMultilevel"/>
    <w:tmpl w:val="63CE5E5C"/>
    <w:lvl w:ilvl="0" w:tplc="FD183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56C5155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C068A"/>
    <w:multiLevelType w:val="hybridMultilevel"/>
    <w:tmpl w:val="B8CAC3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4CE1"/>
    <w:multiLevelType w:val="hybridMultilevel"/>
    <w:tmpl w:val="C84A6B48"/>
    <w:lvl w:ilvl="0" w:tplc="4E2A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B3048"/>
    <w:multiLevelType w:val="hybridMultilevel"/>
    <w:tmpl w:val="76806B96"/>
    <w:lvl w:ilvl="0" w:tplc="7D989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295E1C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B2D77"/>
    <w:multiLevelType w:val="hybridMultilevel"/>
    <w:tmpl w:val="E598A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037D7B"/>
    <w:multiLevelType w:val="hybridMultilevel"/>
    <w:tmpl w:val="2194896E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D904490"/>
    <w:multiLevelType w:val="hybridMultilevel"/>
    <w:tmpl w:val="1648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E79F9"/>
    <w:multiLevelType w:val="hybridMultilevel"/>
    <w:tmpl w:val="99D0290C"/>
    <w:lvl w:ilvl="0" w:tplc="467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5" w15:restartNumberingAfterBreak="0">
    <w:nsid w:val="640605EE"/>
    <w:multiLevelType w:val="hybridMultilevel"/>
    <w:tmpl w:val="4188535A"/>
    <w:lvl w:ilvl="0" w:tplc="F3C4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7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9" w15:restartNumberingAfterBreak="0">
    <w:nsid w:val="78DF5CED"/>
    <w:multiLevelType w:val="hybridMultilevel"/>
    <w:tmpl w:val="8EA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629C9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3150" w:hanging="360"/>
      </w:pPr>
    </w:lvl>
    <w:lvl w:ilvl="1" w:tplc="0C090019" w:tentative="1">
      <w:start w:val="1"/>
      <w:numFmt w:val="lowerLetter"/>
      <w:lvlText w:val="%2."/>
      <w:lvlJc w:val="left"/>
      <w:pPr>
        <w:ind w:left="3870" w:hanging="360"/>
      </w:pPr>
    </w:lvl>
    <w:lvl w:ilvl="2" w:tplc="0C09001B" w:tentative="1">
      <w:start w:val="1"/>
      <w:numFmt w:val="lowerRoman"/>
      <w:lvlText w:val="%3."/>
      <w:lvlJc w:val="right"/>
      <w:pPr>
        <w:ind w:left="4590" w:hanging="180"/>
      </w:pPr>
    </w:lvl>
    <w:lvl w:ilvl="3" w:tplc="0C09000F" w:tentative="1">
      <w:start w:val="1"/>
      <w:numFmt w:val="decimal"/>
      <w:lvlText w:val="%4."/>
      <w:lvlJc w:val="left"/>
      <w:pPr>
        <w:ind w:left="5310" w:hanging="360"/>
      </w:pPr>
    </w:lvl>
    <w:lvl w:ilvl="4" w:tplc="0C090019" w:tentative="1">
      <w:start w:val="1"/>
      <w:numFmt w:val="lowerLetter"/>
      <w:lvlText w:val="%5."/>
      <w:lvlJc w:val="left"/>
      <w:pPr>
        <w:ind w:left="6030" w:hanging="360"/>
      </w:pPr>
    </w:lvl>
    <w:lvl w:ilvl="5" w:tplc="0C09001B" w:tentative="1">
      <w:start w:val="1"/>
      <w:numFmt w:val="lowerRoman"/>
      <w:lvlText w:val="%6."/>
      <w:lvlJc w:val="right"/>
      <w:pPr>
        <w:ind w:left="6750" w:hanging="180"/>
      </w:pPr>
    </w:lvl>
    <w:lvl w:ilvl="6" w:tplc="0C09000F" w:tentative="1">
      <w:start w:val="1"/>
      <w:numFmt w:val="decimal"/>
      <w:lvlText w:val="%7."/>
      <w:lvlJc w:val="left"/>
      <w:pPr>
        <w:ind w:left="7470" w:hanging="360"/>
      </w:pPr>
    </w:lvl>
    <w:lvl w:ilvl="7" w:tplc="0C090019" w:tentative="1">
      <w:start w:val="1"/>
      <w:numFmt w:val="lowerLetter"/>
      <w:lvlText w:val="%8."/>
      <w:lvlJc w:val="left"/>
      <w:pPr>
        <w:ind w:left="8190" w:hanging="360"/>
      </w:pPr>
    </w:lvl>
    <w:lvl w:ilvl="8" w:tplc="0C09001B" w:tentative="1">
      <w:start w:val="1"/>
      <w:numFmt w:val="lowerRoman"/>
      <w:lvlText w:val="%9."/>
      <w:lvlJc w:val="right"/>
      <w:pPr>
        <w:ind w:left="8910" w:hanging="180"/>
      </w:pPr>
    </w:lvl>
  </w:abstractNum>
  <w:num w:numId="1" w16cid:durableId="1022247518">
    <w:abstractNumId w:val="7"/>
  </w:num>
  <w:num w:numId="2" w16cid:durableId="1966543392">
    <w:abstractNumId w:val="1"/>
  </w:num>
  <w:num w:numId="3" w16cid:durableId="936518626">
    <w:abstractNumId w:val="2"/>
  </w:num>
  <w:num w:numId="4" w16cid:durableId="64292422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 w16cid:durableId="1850829110">
    <w:abstractNumId w:val="17"/>
  </w:num>
  <w:num w:numId="6" w16cid:durableId="2060738602">
    <w:abstractNumId w:val="14"/>
  </w:num>
  <w:num w:numId="7" w16cid:durableId="775247538">
    <w:abstractNumId w:val="24"/>
  </w:num>
  <w:num w:numId="8" w16cid:durableId="1556355796">
    <w:abstractNumId w:val="28"/>
  </w:num>
  <w:num w:numId="9" w16cid:durableId="284780173">
    <w:abstractNumId w:val="26"/>
  </w:num>
  <w:num w:numId="10" w16cid:durableId="471291725">
    <w:abstractNumId w:val="10"/>
  </w:num>
  <w:num w:numId="11" w16cid:durableId="232938447">
    <w:abstractNumId w:val="1"/>
  </w:num>
  <w:num w:numId="12" w16cid:durableId="1580600694">
    <w:abstractNumId w:val="15"/>
  </w:num>
  <w:num w:numId="13" w16cid:durableId="510343103">
    <w:abstractNumId w:val="3"/>
  </w:num>
  <w:num w:numId="14" w16cid:durableId="284433665">
    <w:abstractNumId w:val="27"/>
  </w:num>
  <w:num w:numId="15" w16cid:durableId="1753771048">
    <w:abstractNumId w:val="8"/>
  </w:num>
  <w:num w:numId="16" w16cid:durableId="981232645">
    <w:abstractNumId w:val="29"/>
  </w:num>
  <w:num w:numId="17" w16cid:durableId="58603006">
    <w:abstractNumId w:val="4"/>
  </w:num>
  <w:num w:numId="18" w16cid:durableId="624579677">
    <w:abstractNumId w:val="11"/>
  </w:num>
  <w:num w:numId="19" w16cid:durableId="1484394497">
    <w:abstractNumId w:val="21"/>
  </w:num>
  <w:num w:numId="20" w16cid:durableId="788281301">
    <w:abstractNumId w:val="9"/>
  </w:num>
  <w:num w:numId="21" w16cid:durableId="1650017705">
    <w:abstractNumId w:val="5"/>
  </w:num>
  <w:num w:numId="22" w16cid:durableId="565721861">
    <w:abstractNumId w:val="18"/>
  </w:num>
  <w:num w:numId="23" w16cid:durableId="441338628">
    <w:abstractNumId w:val="12"/>
  </w:num>
  <w:num w:numId="24" w16cid:durableId="576718099">
    <w:abstractNumId w:val="30"/>
  </w:num>
  <w:num w:numId="25" w16cid:durableId="2134707454">
    <w:abstractNumId w:val="19"/>
  </w:num>
  <w:num w:numId="26" w16cid:durableId="1294944344">
    <w:abstractNumId w:val="22"/>
  </w:num>
  <w:num w:numId="27" w16cid:durableId="1206405607">
    <w:abstractNumId w:val="23"/>
  </w:num>
  <w:num w:numId="28" w16cid:durableId="12078795">
    <w:abstractNumId w:val="6"/>
  </w:num>
  <w:num w:numId="29" w16cid:durableId="931088780">
    <w:abstractNumId w:val="25"/>
  </w:num>
  <w:num w:numId="30" w16cid:durableId="133912160">
    <w:abstractNumId w:val="16"/>
  </w:num>
  <w:num w:numId="31" w16cid:durableId="932322789">
    <w:abstractNumId w:val="0"/>
  </w:num>
  <w:num w:numId="32" w16cid:durableId="559051842">
    <w:abstractNumId w:val="13"/>
  </w:num>
  <w:num w:numId="33" w16cid:durableId="20694983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jE1NDCyMDc2sDRT0lEKTi0uzszPAykwrQUAHqni4iwAAAA="/>
  </w:docVars>
  <w:rsids>
    <w:rsidRoot w:val="00C33073"/>
    <w:rsid w:val="00005E4F"/>
    <w:rsid w:val="000148F7"/>
    <w:rsid w:val="0001618C"/>
    <w:rsid w:val="00016379"/>
    <w:rsid w:val="00030057"/>
    <w:rsid w:val="00033765"/>
    <w:rsid w:val="00036F0D"/>
    <w:rsid w:val="00041488"/>
    <w:rsid w:val="0006020F"/>
    <w:rsid w:val="00061DAE"/>
    <w:rsid w:val="00062121"/>
    <w:rsid w:val="000642C7"/>
    <w:rsid w:val="000844BB"/>
    <w:rsid w:val="000A34AA"/>
    <w:rsid w:val="000A4656"/>
    <w:rsid w:val="000B0C4A"/>
    <w:rsid w:val="000B1653"/>
    <w:rsid w:val="000B4233"/>
    <w:rsid w:val="000B6DC2"/>
    <w:rsid w:val="000C0D27"/>
    <w:rsid w:val="000C1F7B"/>
    <w:rsid w:val="000C2103"/>
    <w:rsid w:val="000D000F"/>
    <w:rsid w:val="000D2730"/>
    <w:rsid w:val="000D3545"/>
    <w:rsid w:val="000E1F0E"/>
    <w:rsid w:val="000E3BB5"/>
    <w:rsid w:val="000E3D9A"/>
    <w:rsid w:val="000E67EA"/>
    <w:rsid w:val="00112F63"/>
    <w:rsid w:val="001154F6"/>
    <w:rsid w:val="0011768D"/>
    <w:rsid w:val="00122602"/>
    <w:rsid w:val="00124E8F"/>
    <w:rsid w:val="00126237"/>
    <w:rsid w:val="00127A97"/>
    <w:rsid w:val="001327C1"/>
    <w:rsid w:val="00132C48"/>
    <w:rsid w:val="00141107"/>
    <w:rsid w:val="00141BC5"/>
    <w:rsid w:val="00142454"/>
    <w:rsid w:val="00144013"/>
    <w:rsid w:val="00174AEB"/>
    <w:rsid w:val="0017580F"/>
    <w:rsid w:val="001776C9"/>
    <w:rsid w:val="001820BC"/>
    <w:rsid w:val="00196D5A"/>
    <w:rsid w:val="001B45DC"/>
    <w:rsid w:val="001B46A8"/>
    <w:rsid w:val="001C143C"/>
    <w:rsid w:val="001C1729"/>
    <w:rsid w:val="001C3D4B"/>
    <w:rsid w:val="001D1574"/>
    <w:rsid w:val="001E1322"/>
    <w:rsid w:val="001E739A"/>
    <w:rsid w:val="001E744D"/>
    <w:rsid w:val="001F041E"/>
    <w:rsid w:val="00204058"/>
    <w:rsid w:val="00207F47"/>
    <w:rsid w:val="00210DE7"/>
    <w:rsid w:val="00215683"/>
    <w:rsid w:val="0021647B"/>
    <w:rsid w:val="00220486"/>
    <w:rsid w:val="002341DB"/>
    <w:rsid w:val="002826C4"/>
    <w:rsid w:val="002932DA"/>
    <w:rsid w:val="002A1C84"/>
    <w:rsid w:val="002A3262"/>
    <w:rsid w:val="002D02C4"/>
    <w:rsid w:val="002D2487"/>
    <w:rsid w:val="002F1FA7"/>
    <w:rsid w:val="002F7649"/>
    <w:rsid w:val="003016E5"/>
    <w:rsid w:val="00317EC5"/>
    <w:rsid w:val="003222C8"/>
    <w:rsid w:val="00322A6A"/>
    <w:rsid w:val="00327E79"/>
    <w:rsid w:val="00335435"/>
    <w:rsid w:val="003421F5"/>
    <w:rsid w:val="003501AB"/>
    <w:rsid w:val="00374474"/>
    <w:rsid w:val="003867F9"/>
    <w:rsid w:val="0038686A"/>
    <w:rsid w:val="0039098A"/>
    <w:rsid w:val="00392E2F"/>
    <w:rsid w:val="003A0DB8"/>
    <w:rsid w:val="003A47DA"/>
    <w:rsid w:val="003A7138"/>
    <w:rsid w:val="003B1987"/>
    <w:rsid w:val="003B1CA1"/>
    <w:rsid w:val="003D1F80"/>
    <w:rsid w:val="003D589F"/>
    <w:rsid w:val="003D6260"/>
    <w:rsid w:val="003E0B6D"/>
    <w:rsid w:val="003E52FA"/>
    <w:rsid w:val="003F636C"/>
    <w:rsid w:val="00400DD7"/>
    <w:rsid w:val="00406908"/>
    <w:rsid w:val="00414CD3"/>
    <w:rsid w:val="004172EE"/>
    <w:rsid w:val="0042697B"/>
    <w:rsid w:val="0042796F"/>
    <w:rsid w:val="004310B8"/>
    <w:rsid w:val="004369F3"/>
    <w:rsid w:val="0044157E"/>
    <w:rsid w:val="00441C01"/>
    <w:rsid w:val="004460CF"/>
    <w:rsid w:val="004466EB"/>
    <w:rsid w:val="00462565"/>
    <w:rsid w:val="00470B87"/>
    <w:rsid w:val="0047326C"/>
    <w:rsid w:val="004935EE"/>
    <w:rsid w:val="004957C0"/>
    <w:rsid w:val="00496340"/>
    <w:rsid w:val="004A4A13"/>
    <w:rsid w:val="004A7948"/>
    <w:rsid w:val="004C083D"/>
    <w:rsid w:val="004C6383"/>
    <w:rsid w:val="004D1121"/>
    <w:rsid w:val="004D2349"/>
    <w:rsid w:val="004D6AE1"/>
    <w:rsid w:val="004E1712"/>
    <w:rsid w:val="004E21A8"/>
    <w:rsid w:val="00500B86"/>
    <w:rsid w:val="005027AC"/>
    <w:rsid w:val="00504654"/>
    <w:rsid w:val="00505A68"/>
    <w:rsid w:val="0052605E"/>
    <w:rsid w:val="00526742"/>
    <w:rsid w:val="00534820"/>
    <w:rsid w:val="00547840"/>
    <w:rsid w:val="005522AE"/>
    <w:rsid w:val="005552B3"/>
    <w:rsid w:val="005571DE"/>
    <w:rsid w:val="00563FF4"/>
    <w:rsid w:val="005736D8"/>
    <w:rsid w:val="0057619C"/>
    <w:rsid w:val="00577FC1"/>
    <w:rsid w:val="00582A80"/>
    <w:rsid w:val="00596381"/>
    <w:rsid w:val="005A3324"/>
    <w:rsid w:val="005A4658"/>
    <w:rsid w:val="005A6D3A"/>
    <w:rsid w:val="005C1310"/>
    <w:rsid w:val="005C3FA9"/>
    <w:rsid w:val="005C5635"/>
    <w:rsid w:val="005D2126"/>
    <w:rsid w:val="005E5BCC"/>
    <w:rsid w:val="00603E75"/>
    <w:rsid w:val="00604364"/>
    <w:rsid w:val="0061142F"/>
    <w:rsid w:val="00621D3D"/>
    <w:rsid w:val="00621F50"/>
    <w:rsid w:val="006262E3"/>
    <w:rsid w:val="00635F5C"/>
    <w:rsid w:val="00636909"/>
    <w:rsid w:val="006372C8"/>
    <w:rsid w:val="00640A03"/>
    <w:rsid w:val="0064375A"/>
    <w:rsid w:val="00645456"/>
    <w:rsid w:val="00647AB3"/>
    <w:rsid w:val="006622D7"/>
    <w:rsid w:val="00676814"/>
    <w:rsid w:val="00677F3C"/>
    <w:rsid w:val="00683D99"/>
    <w:rsid w:val="00685B66"/>
    <w:rsid w:val="00696A68"/>
    <w:rsid w:val="006A50C5"/>
    <w:rsid w:val="006A5153"/>
    <w:rsid w:val="006C19BA"/>
    <w:rsid w:val="006C2396"/>
    <w:rsid w:val="006C2E43"/>
    <w:rsid w:val="006C5590"/>
    <w:rsid w:val="006D2EA0"/>
    <w:rsid w:val="006D30F1"/>
    <w:rsid w:val="006E12C0"/>
    <w:rsid w:val="006E172B"/>
    <w:rsid w:val="006F40CC"/>
    <w:rsid w:val="00705B1D"/>
    <w:rsid w:val="00711F2C"/>
    <w:rsid w:val="00716163"/>
    <w:rsid w:val="00723436"/>
    <w:rsid w:val="00750BCE"/>
    <w:rsid w:val="0075327B"/>
    <w:rsid w:val="0076439B"/>
    <w:rsid w:val="00765D08"/>
    <w:rsid w:val="007674FB"/>
    <w:rsid w:val="007701B2"/>
    <w:rsid w:val="00773F4B"/>
    <w:rsid w:val="007750BB"/>
    <w:rsid w:val="00777179"/>
    <w:rsid w:val="007914DD"/>
    <w:rsid w:val="00796290"/>
    <w:rsid w:val="007A0806"/>
    <w:rsid w:val="007A43ED"/>
    <w:rsid w:val="007A70B3"/>
    <w:rsid w:val="007B1A43"/>
    <w:rsid w:val="007E4EA7"/>
    <w:rsid w:val="007E70C3"/>
    <w:rsid w:val="007F03C9"/>
    <w:rsid w:val="007F3C00"/>
    <w:rsid w:val="007F4FFE"/>
    <w:rsid w:val="0080011E"/>
    <w:rsid w:val="008010B3"/>
    <w:rsid w:val="008076BF"/>
    <w:rsid w:val="00810F35"/>
    <w:rsid w:val="00815320"/>
    <w:rsid w:val="00820A26"/>
    <w:rsid w:val="0082160D"/>
    <w:rsid w:val="00837657"/>
    <w:rsid w:val="008404BA"/>
    <w:rsid w:val="00841013"/>
    <w:rsid w:val="008447BA"/>
    <w:rsid w:val="00853F0B"/>
    <w:rsid w:val="00854099"/>
    <w:rsid w:val="0087371E"/>
    <w:rsid w:val="00874FB2"/>
    <w:rsid w:val="008770CE"/>
    <w:rsid w:val="0088306D"/>
    <w:rsid w:val="00883341"/>
    <w:rsid w:val="008857F9"/>
    <w:rsid w:val="00890835"/>
    <w:rsid w:val="00893EC5"/>
    <w:rsid w:val="00894C17"/>
    <w:rsid w:val="008A2A55"/>
    <w:rsid w:val="008B2E0E"/>
    <w:rsid w:val="008E33FB"/>
    <w:rsid w:val="008E4D3E"/>
    <w:rsid w:val="008E5E33"/>
    <w:rsid w:val="00915003"/>
    <w:rsid w:val="00927F6F"/>
    <w:rsid w:val="00932369"/>
    <w:rsid w:val="0093498F"/>
    <w:rsid w:val="009373FF"/>
    <w:rsid w:val="00937DCB"/>
    <w:rsid w:val="00943427"/>
    <w:rsid w:val="00943947"/>
    <w:rsid w:val="00952306"/>
    <w:rsid w:val="00956E0E"/>
    <w:rsid w:val="009632A7"/>
    <w:rsid w:val="00966B3E"/>
    <w:rsid w:val="0097194C"/>
    <w:rsid w:val="0097715D"/>
    <w:rsid w:val="009773A8"/>
    <w:rsid w:val="00984023"/>
    <w:rsid w:val="00990CAC"/>
    <w:rsid w:val="00992FC3"/>
    <w:rsid w:val="009B6203"/>
    <w:rsid w:val="009B6DEA"/>
    <w:rsid w:val="009F6CE6"/>
    <w:rsid w:val="00A05330"/>
    <w:rsid w:val="00A05452"/>
    <w:rsid w:val="00A108A2"/>
    <w:rsid w:val="00A10AE5"/>
    <w:rsid w:val="00A2045D"/>
    <w:rsid w:val="00A264F6"/>
    <w:rsid w:val="00A404DB"/>
    <w:rsid w:val="00A423AA"/>
    <w:rsid w:val="00A50226"/>
    <w:rsid w:val="00A515B6"/>
    <w:rsid w:val="00A81890"/>
    <w:rsid w:val="00A81CE9"/>
    <w:rsid w:val="00A858A3"/>
    <w:rsid w:val="00A96F5F"/>
    <w:rsid w:val="00AB02C2"/>
    <w:rsid w:val="00AB1E76"/>
    <w:rsid w:val="00AC77D2"/>
    <w:rsid w:val="00AD0331"/>
    <w:rsid w:val="00AD1250"/>
    <w:rsid w:val="00AD375C"/>
    <w:rsid w:val="00AD7E72"/>
    <w:rsid w:val="00AE0B21"/>
    <w:rsid w:val="00AF68FB"/>
    <w:rsid w:val="00B05AD4"/>
    <w:rsid w:val="00B10C8A"/>
    <w:rsid w:val="00B13D7D"/>
    <w:rsid w:val="00B230FE"/>
    <w:rsid w:val="00B242DE"/>
    <w:rsid w:val="00B257C7"/>
    <w:rsid w:val="00B37FEE"/>
    <w:rsid w:val="00B504BA"/>
    <w:rsid w:val="00B67F1F"/>
    <w:rsid w:val="00B92CAF"/>
    <w:rsid w:val="00B9680F"/>
    <w:rsid w:val="00BA0421"/>
    <w:rsid w:val="00BA3DBE"/>
    <w:rsid w:val="00BC1DF7"/>
    <w:rsid w:val="00BC33EA"/>
    <w:rsid w:val="00BD5D13"/>
    <w:rsid w:val="00BE235B"/>
    <w:rsid w:val="00BE28B5"/>
    <w:rsid w:val="00BE4055"/>
    <w:rsid w:val="00BE7A22"/>
    <w:rsid w:val="00BF222A"/>
    <w:rsid w:val="00BF2FDA"/>
    <w:rsid w:val="00C07732"/>
    <w:rsid w:val="00C12966"/>
    <w:rsid w:val="00C1459A"/>
    <w:rsid w:val="00C22F5C"/>
    <w:rsid w:val="00C25841"/>
    <w:rsid w:val="00C25BDE"/>
    <w:rsid w:val="00C26B2C"/>
    <w:rsid w:val="00C31066"/>
    <w:rsid w:val="00C33073"/>
    <w:rsid w:val="00C37C70"/>
    <w:rsid w:val="00C42018"/>
    <w:rsid w:val="00C42B10"/>
    <w:rsid w:val="00C46C74"/>
    <w:rsid w:val="00C524F0"/>
    <w:rsid w:val="00C52B20"/>
    <w:rsid w:val="00C54740"/>
    <w:rsid w:val="00C70655"/>
    <w:rsid w:val="00C744D1"/>
    <w:rsid w:val="00C872F8"/>
    <w:rsid w:val="00C9121D"/>
    <w:rsid w:val="00C962D0"/>
    <w:rsid w:val="00C97181"/>
    <w:rsid w:val="00C97800"/>
    <w:rsid w:val="00CA2C7A"/>
    <w:rsid w:val="00CA6103"/>
    <w:rsid w:val="00CD552A"/>
    <w:rsid w:val="00CF2BAC"/>
    <w:rsid w:val="00CF79F6"/>
    <w:rsid w:val="00D02ED1"/>
    <w:rsid w:val="00D04FED"/>
    <w:rsid w:val="00D1411C"/>
    <w:rsid w:val="00D26AB0"/>
    <w:rsid w:val="00D2761B"/>
    <w:rsid w:val="00D323D0"/>
    <w:rsid w:val="00D40D31"/>
    <w:rsid w:val="00D9105B"/>
    <w:rsid w:val="00D93DD7"/>
    <w:rsid w:val="00D96565"/>
    <w:rsid w:val="00D97C7C"/>
    <w:rsid w:val="00DB215A"/>
    <w:rsid w:val="00DB6D7D"/>
    <w:rsid w:val="00DC5A5D"/>
    <w:rsid w:val="00DD20EF"/>
    <w:rsid w:val="00DD7284"/>
    <w:rsid w:val="00DE6D8B"/>
    <w:rsid w:val="00DE7A47"/>
    <w:rsid w:val="00DF4D09"/>
    <w:rsid w:val="00E01408"/>
    <w:rsid w:val="00E0293B"/>
    <w:rsid w:val="00E0707E"/>
    <w:rsid w:val="00E101DD"/>
    <w:rsid w:val="00E1223C"/>
    <w:rsid w:val="00E20D8F"/>
    <w:rsid w:val="00E302D3"/>
    <w:rsid w:val="00E40B18"/>
    <w:rsid w:val="00E431D4"/>
    <w:rsid w:val="00E52C5F"/>
    <w:rsid w:val="00E64A2B"/>
    <w:rsid w:val="00E74A27"/>
    <w:rsid w:val="00E900C7"/>
    <w:rsid w:val="00E93979"/>
    <w:rsid w:val="00E95495"/>
    <w:rsid w:val="00EA1C17"/>
    <w:rsid w:val="00EB03D5"/>
    <w:rsid w:val="00EB4FF8"/>
    <w:rsid w:val="00EB59B3"/>
    <w:rsid w:val="00EB7115"/>
    <w:rsid w:val="00EC1FE4"/>
    <w:rsid w:val="00ED2322"/>
    <w:rsid w:val="00ED59FD"/>
    <w:rsid w:val="00EE4266"/>
    <w:rsid w:val="00EF0BF9"/>
    <w:rsid w:val="00EF36AE"/>
    <w:rsid w:val="00EF6967"/>
    <w:rsid w:val="00F026C6"/>
    <w:rsid w:val="00F06227"/>
    <w:rsid w:val="00F13256"/>
    <w:rsid w:val="00F160B7"/>
    <w:rsid w:val="00F22534"/>
    <w:rsid w:val="00F26D58"/>
    <w:rsid w:val="00F40CCE"/>
    <w:rsid w:val="00F4600C"/>
    <w:rsid w:val="00F54C52"/>
    <w:rsid w:val="00F55137"/>
    <w:rsid w:val="00F66CD0"/>
    <w:rsid w:val="00F72787"/>
    <w:rsid w:val="00F74F52"/>
    <w:rsid w:val="00F86EE8"/>
    <w:rsid w:val="00F93BD6"/>
    <w:rsid w:val="00FA476B"/>
    <w:rsid w:val="00FC4B90"/>
    <w:rsid w:val="00FC4BC2"/>
    <w:rsid w:val="00FC553E"/>
    <w:rsid w:val="00FC72EB"/>
    <w:rsid w:val="00FD1608"/>
    <w:rsid w:val="00FD4293"/>
    <w:rsid w:val="00FD61D6"/>
    <w:rsid w:val="00FD705F"/>
    <w:rsid w:val="00FE485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0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00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77717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FD1608"/>
    <w:pPr>
      <w:spacing w:after="0" w:line="240" w:lineRule="auto"/>
      <w:ind w:left="360"/>
    </w:pPr>
    <w:rPr>
      <w:rFonts w:ascii="Century Gothic" w:eastAsia="바탕" w:hAnsi="Century Gothic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1608"/>
    <w:rPr>
      <w:rFonts w:ascii="Century Gothic" w:eastAsia="바탕" w:hAnsi="Century Gothic" w:cs="Times New Roman"/>
      <w:sz w:val="24"/>
      <w:szCs w:val="20"/>
      <w:lang w:eastAsia="en-US"/>
    </w:rPr>
  </w:style>
  <w:style w:type="paragraph" w:customStyle="1" w:styleId="Label">
    <w:name w:val="Label"/>
    <w:basedOn w:val="Normal"/>
    <w:qFormat/>
    <w:rsid w:val="00FD1608"/>
    <w:pPr>
      <w:spacing w:before="40" w:after="20" w:line="240" w:lineRule="auto"/>
    </w:pPr>
    <w:rPr>
      <w:rFonts w:ascii="Calibri" w:eastAsia="바탕" w:hAnsi="Calibri" w:cs="Times New Roman"/>
      <w:b/>
      <w:color w:val="262626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5129B-22FF-B447-B46C-CFC979A4D0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5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2273</Characters>
  <Application>Microsoft Office Word</Application>
  <DocSecurity>0</DocSecurity>
  <Lines>142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Heejin Oh</cp:lastModifiedBy>
  <cp:revision>5</cp:revision>
  <dcterms:created xsi:type="dcterms:W3CDTF">2022-12-20T04:56:00Z</dcterms:created>
  <dcterms:modified xsi:type="dcterms:W3CDTF">2022-12-20T06:33:00Z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GrammarlyDocumentId">
    <vt:lpwstr>c55d7a939c4b66edd1ff7fe012ac4a3650982908927b459aa4b4515e6807d506</vt:lpwstr>
  </property>
</Properties>
</file>