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66EDEB77" w:rsidR="00C33073" w:rsidRPr="00057CA5" w:rsidRDefault="00322A6A" w:rsidP="00316356">
      <w:pPr>
        <w:pStyle w:val="Header"/>
        <w:spacing w:after="0" w:line="259" w:lineRule="auto"/>
        <w:jc w:val="left"/>
        <w:rPr>
          <w:rFonts w:cstheme="minorHAnsi"/>
          <w:sz w:val="20"/>
          <w:szCs w:val="20"/>
        </w:rPr>
      </w:pPr>
      <w:r w:rsidRPr="00057CA5">
        <w:rPr>
          <w:rFonts w:cstheme="minorHAnsi"/>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sidRPr="00057CA5">
        <w:rPr>
          <w:rFonts w:cstheme="minorHAnsi"/>
          <w:sz w:val="20"/>
          <w:szCs w:val="20"/>
        </w:rPr>
        <w:t>TENTH</w:t>
      </w:r>
      <w:r w:rsidR="00C33073" w:rsidRPr="00057CA5">
        <w:rPr>
          <w:rFonts w:cstheme="minorHAnsi"/>
          <w:sz w:val="20"/>
          <w:szCs w:val="20"/>
        </w:rPr>
        <w:t xml:space="preserve"> MEETING OF PARTNERS TO THE PARTNERSHIP FOR EAST ASIAN – AUSTRALASIAN FLYWAY</w:t>
      </w:r>
      <w:r w:rsidR="00C33073" w:rsidRPr="00057CA5">
        <w:rPr>
          <w:rFonts w:cstheme="minorHAnsi"/>
          <w:sz w:val="20"/>
          <w:szCs w:val="20"/>
        </w:rPr>
        <w:br/>
      </w:r>
      <w:proofErr w:type="spellStart"/>
      <w:r w:rsidR="00C33073" w:rsidRPr="00057CA5">
        <w:rPr>
          <w:rFonts w:cstheme="minorHAnsi"/>
          <w:sz w:val="20"/>
          <w:szCs w:val="20"/>
        </w:rPr>
        <w:t>Changjiang</w:t>
      </w:r>
      <w:proofErr w:type="spellEnd"/>
      <w:r w:rsidR="00C33073" w:rsidRPr="00057CA5">
        <w:rPr>
          <w:rFonts w:cstheme="minorHAnsi"/>
          <w:sz w:val="20"/>
          <w:szCs w:val="20"/>
        </w:rPr>
        <w:t xml:space="preserve">, </w:t>
      </w:r>
      <w:r w:rsidR="00057CA5">
        <w:rPr>
          <w:sz w:val="20"/>
          <w:szCs w:val="20"/>
        </w:rPr>
        <w:t xml:space="preserve">P.R. China, </w:t>
      </w:r>
      <w:r w:rsidR="00C33073" w:rsidRPr="00057CA5">
        <w:rPr>
          <w:rFonts w:cstheme="minorHAnsi"/>
          <w:sz w:val="20"/>
          <w:szCs w:val="20"/>
        </w:rPr>
        <w:t xml:space="preserve">10-14 </w:t>
      </w:r>
      <w:r w:rsidR="00645456" w:rsidRPr="00057CA5">
        <w:rPr>
          <w:rFonts w:cstheme="minorHAnsi"/>
          <w:sz w:val="20"/>
          <w:szCs w:val="20"/>
        </w:rPr>
        <w:t>December</w:t>
      </w:r>
      <w:r w:rsidR="00C33073" w:rsidRPr="00057CA5">
        <w:rPr>
          <w:rFonts w:cstheme="minorHAnsi"/>
          <w:sz w:val="20"/>
          <w:szCs w:val="20"/>
        </w:rPr>
        <w:t xml:space="preserve"> 2018</w:t>
      </w:r>
      <w:r w:rsidR="00C33073" w:rsidRPr="00057CA5">
        <w:rPr>
          <w:rFonts w:cstheme="minorHAnsi"/>
          <w:sz w:val="20"/>
          <w:szCs w:val="20"/>
        </w:rPr>
        <w:br/>
      </w:r>
    </w:p>
    <w:p w14:paraId="6D1BBB55" w14:textId="57779D4E" w:rsidR="00A264F6" w:rsidRDefault="00A264F6">
      <w:pPr>
        <w:rPr>
          <w:rFonts w:ascii="Arial" w:hAnsi="Arial" w:cs="Arial"/>
        </w:rPr>
      </w:pPr>
    </w:p>
    <w:p w14:paraId="22DA8BAF" w14:textId="63F25238" w:rsidR="00C16B11" w:rsidRPr="00C16B11" w:rsidRDefault="00C16B11" w:rsidP="009604DD">
      <w:pPr>
        <w:spacing w:after="120"/>
        <w:jc w:val="center"/>
        <w:rPr>
          <w:rFonts w:cstheme="minorHAnsi"/>
          <w:b/>
          <w:sz w:val="28"/>
          <w:szCs w:val="28"/>
        </w:rPr>
      </w:pPr>
      <w:r w:rsidRPr="00C16B11">
        <w:rPr>
          <w:rFonts w:cstheme="minorHAnsi"/>
          <w:b/>
          <w:sz w:val="28"/>
          <w:szCs w:val="28"/>
        </w:rPr>
        <w:t>D</w:t>
      </w:r>
      <w:r w:rsidR="00E11DFC">
        <w:rPr>
          <w:rFonts w:cstheme="minorHAnsi"/>
          <w:b/>
          <w:sz w:val="28"/>
          <w:szCs w:val="28"/>
        </w:rPr>
        <w:t>ocument 12</w:t>
      </w:r>
    </w:p>
    <w:p w14:paraId="51CE3789" w14:textId="141BB271" w:rsidR="00E11DFC" w:rsidRDefault="00E11DFC" w:rsidP="00E11DFC">
      <w:pPr>
        <w:spacing w:after="0" w:line="240" w:lineRule="auto"/>
        <w:jc w:val="center"/>
        <w:rPr>
          <w:rFonts w:cs="Arial"/>
          <w:b/>
          <w:sz w:val="28"/>
          <w:szCs w:val="28"/>
        </w:rPr>
      </w:pPr>
      <w:r>
        <w:rPr>
          <w:rFonts w:cs="Arial"/>
          <w:b/>
          <w:sz w:val="28"/>
          <w:szCs w:val="28"/>
        </w:rPr>
        <w:t>A</w:t>
      </w:r>
      <w:r w:rsidRPr="00E51CBD">
        <w:rPr>
          <w:rFonts w:cs="Arial"/>
          <w:b/>
          <w:sz w:val="28"/>
          <w:szCs w:val="28"/>
        </w:rPr>
        <w:t xml:space="preserve">dministrative and financial implications </w:t>
      </w:r>
      <w:r>
        <w:rPr>
          <w:rFonts w:cs="Arial"/>
          <w:b/>
          <w:sz w:val="28"/>
          <w:szCs w:val="28"/>
        </w:rPr>
        <w:br/>
      </w:r>
      <w:r w:rsidRPr="00E51CBD">
        <w:rPr>
          <w:rFonts w:cs="Arial"/>
          <w:b/>
          <w:sz w:val="28"/>
          <w:szCs w:val="28"/>
        </w:rPr>
        <w:t xml:space="preserve">of </w:t>
      </w:r>
      <w:r w:rsidR="00B81EAD" w:rsidRPr="00B81EAD">
        <w:rPr>
          <w:rFonts w:cs="Arial"/>
          <w:b/>
          <w:sz w:val="28"/>
          <w:szCs w:val="28"/>
        </w:rPr>
        <w:t xml:space="preserve">substantive agenda items </w:t>
      </w:r>
    </w:p>
    <w:p w14:paraId="19FB444A" w14:textId="77777777" w:rsidR="00C16B11" w:rsidRDefault="00C16B11" w:rsidP="00C16B11">
      <w:pPr>
        <w:spacing w:after="0"/>
        <w:rPr>
          <w:rFonts w:ascii="Arial" w:hAnsi="Arial" w:cs="Arial"/>
          <w:i/>
        </w:rPr>
      </w:pPr>
    </w:p>
    <w:p w14:paraId="79884604" w14:textId="77FA129D" w:rsidR="00C34B14" w:rsidRPr="00C16B11" w:rsidRDefault="00C16B11" w:rsidP="00C16B11">
      <w:pPr>
        <w:spacing w:after="0"/>
        <w:rPr>
          <w:rFonts w:cstheme="minorHAnsi"/>
          <w:i/>
        </w:rPr>
      </w:pPr>
      <w:r w:rsidRPr="00C16B11">
        <w:rPr>
          <w:rFonts w:cstheme="minorHAnsi"/>
          <w:i/>
        </w:rPr>
        <w:t xml:space="preserve"> Prepared by </w:t>
      </w:r>
      <w:r w:rsidR="00E11DFC">
        <w:rPr>
          <w:rFonts w:cstheme="minorHAnsi"/>
          <w:i/>
        </w:rPr>
        <w:t xml:space="preserve">the </w:t>
      </w:r>
      <w:r w:rsidRPr="00C16B11">
        <w:rPr>
          <w:rFonts w:cstheme="minorHAnsi"/>
          <w:i/>
        </w:rPr>
        <w:t>EAAFP Secretariat</w:t>
      </w:r>
    </w:p>
    <w:p w14:paraId="033CE37A" w14:textId="33566AF0" w:rsidR="00C34B14" w:rsidRDefault="00800D4A" w:rsidP="00C16B11">
      <w:pPr>
        <w:spacing w:after="0"/>
        <w:rPr>
          <w:rFonts w:ascii="Arial" w:hAnsi="Arial" w:cs="Arial"/>
          <w:b/>
          <w:sz w:val="28"/>
          <w:szCs w:val="28"/>
        </w:rPr>
      </w:pPr>
      <w:r>
        <w:rPr>
          <w:noProof/>
          <w:lang w:val="en-AU" w:eastAsia="en-AU"/>
        </w:rPr>
        <mc:AlternateContent>
          <mc:Choice Requires="wps">
            <w:drawing>
              <wp:anchor distT="45720" distB="45720" distL="114300" distR="114300" simplePos="0" relativeHeight="251661312" behindDoc="0" locked="0" layoutInCell="1" allowOverlap="1" wp14:anchorId="67459A93" wp14:editId="7729C7C1">
                <wp:simplePos x="0" y="0"/>
                <wp:positionH relativeFrom="column">
                  <wp:posOffset>1366520</wp:posOffset>
                </wp:positionH>
                <wp:positionV relativeFrom="paragraph">
                  <wp:posOffset>170815</wp:posOffset>
                </wp:positionV>
                <wp:extent cx="3378200" cy="79438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794385"/>
                        </a:xfrm>
                        <a:prstGeom prst="rect">
                          <a:avLst/>
                        </a:prstGeom>
                        <a:solidFill>
                          <a:srgbClr val="FFFFFF"/>
                        </a:solidFill>
                        <a:ln w="9525">
                          <a:solidFill>
                            <a:srgbClr val="000000"/>
                          </a:solidFill>
                          <a:miter lim="800000"/>
                          <a:headEnd/>
                          <a:tailEnd/>
                        </a:ln>
                      </wps:spPr>
                      <wps:txbx>
                        <w:txbxContent>
                          <w:p w14:paraId="0F7867BF" w14:textId="7A12A903" w:rsidR="00800D4A" w:rsidRPr="00800D4A" w:rsidRDefault="00800D4A" w:rsidP="00800D4A">
                            <w:pPr>
                              <w:spacing w:after="0" w:line="240" w:lineRule="auto"/>
                              <w:rPr>
                                <w:rFonts w:cs="Arial"/>
                              </w:rPr>
                            </w:pPr>
                            <w:bookmarkStart w:id="0" w:name="_GoBack"/>
                            <w:bookmarkEnd w:id="0"/>
                            <w:r>
                              <w:t xml:space="preserve">Partners at </w:t>
                            </w:r>
                            <w:r w:rsidRPr="00800D4A">
                              <w:t>M</w:t>
                            </w:r>
                            <w:r w:rsidR="00124B56">
                              <w:t>o</w:t>
                            </w:r>
                            <w:r w:rsidRPr="00800D4A">
                              <w:t xml:space="preserve">P10 are requested to review the report for the Secretariat on the </w:t>
                            </w:r>
                            <w:r>
                              <w:t xml:space="preserve">additional </w:t>
                            </w:r>
                            <w:r w:rsidRPr="00800D4A">
                              <w:t>administrative and financial implications</w:t>
                            </w:r>
                            <w:r w:rsidRPr="00800D4A">
                              <w:rPr>
                                <w:rFonts w:cs="Arial"/>
                              </w:rPr>
                              <w:t xml:space="preserve"> of the substantive agenda items that will be presented to M</w:t>
                            </w:r>
                            <w:r w:rsidR="00124B56">
                              <w:rPr>
                                <w:rFonts w:cs="Arial"/>
                              </w:rPr>
                              <w:t>o</w:t>
                            </w:r>
                            <w:r w:rsidRPr="00800D4A">
                              <w:rPr>
                                <w:rFonts w:cs="Arial"/>
                              </w:rPr>
                              <w:t>P10</w:t>
                            </w:r>
                          </w:p>
                          <w:p w14:paraId="01935334" w14:textId="47E0A074" w:rsidR="00800D4A" w:rsidRDefault="00800D4A" w:rsidP="00800D4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59A93" id="_x0000_t202" coordsize="21600,21600" o:spt="202" path="m,l,21600r21600,l21600,xe">
                <v:stroke joinstyle="miter"/>
                <v:path gradientshapeok="t" o:connecttype="rect"/>
              </v:shapetype>
              <v:shape id="Text Box 2" o:spid="_x0000_s1026" type="#_x0000_t202" style="position:absolute;margin-left:107.6pt;margin-top:13.45pt;width:266pt;height:6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">
                <v:textbox>
                  <w:txbxContent>
                    <w:p w14:paraId="0F7867BF" w14:textId="7A12A903" w:rsidR="00800D4A" w:rsidRPr="00800D4A" w:rsidRDefault="00800D4A" w:rsidP="00800D4A">
                      <w:pPr>
                        <w:spacing w:after="0" w:line="240" w:lineRule="auto"/>
                        <w:rPr>
                          <w:rFonts w:cs="Arial"/>
                        </w:rPr>
                      </w:pPr>
                      <w:bookmarkStart w:id="1" w:name="_GoBack"/>
                      <w:bookmarkEnd w:id="1"/>
                      <w:r>
                        <w:t xml:space="preserve">Partners at </w:t>
                      </w:r>
                      <w:r w:rsidRPr="00800D4A">
                        <w:t>M</w:t>
                      </w:r>
                      <w:r w:rsidR="00124B56">
                        <w:t>o</w:t>
                      </w:r>
                      <w:r w:rsidRPr="00800D4A">
                        <w:t xml:space="preserve">P10 are requested to review the report for the Secretariat on the </w:t>
                      </w:r>
                      <w:r>
                        <w:t xml:space="preserve">additional </w:t>
                      </w:r>
                      <w:r w:rsidRPr="00800D4A">
                        <w:t>administrative and financial implications</w:t>
                      </w:r>
                      <w:r w:rsidRPr="00800D4A">
                        <w:rPr>
                          <w:rFonts w:cs="Arial"/>
                        </w:rPr>
                        <w:t xml:space="preserve"> of the substantive agenda items that will be presented to M</w:t>
                      </w:r>
                      <w:r w:rsidR="00124B56">
                        <w:rPr>
                          <w:rFonts w:cs="Arial"/>
                        </w:rPr>
                        <w:t>o</w:t>
                      </w:r>
                      <w:r w:rsidRPr="00800D4A">
                        <w:rPr>
                          <w:rFonts w:cs="Arial"/>
                        </w:rPr>
                        <w:t>P10</w:t>
                      </w:r>
                    </w:p>
                    <w:p w14:paraId="01935334" w14:textId="47E0A074" w:rsidR="00800D4A" w:rsidRDefault="00800D4A" w:rsidP="00800D4A">
                      <w:r>
                        <w:t>.</w:t>
                      </w:r>
                    </w:p>
                  </w:txbxContent>
                </v:textbox>
                <w10:wrap type="square"/>
              </v:shape>
            </w:pict>
          </mc:Fallback>
        </mc:AlternateContent>
      </w:r>
    </w:p>
    <w:p w14:paraId="6C303578" w14:textId="4AC6451E" w:rsidR="00C34B14" w:rsidRDefault="00C34B14" w:rsidP="00C16B11">
      <w:pPr>
        <w:spacing w:after="0"/>
        <w:jc w:val="right"/>
        <w:rPr>
          <w:rFonts w:ascii="Arial" w:hAnsi="Arial" w:cs="Arial"/>
          <w:b/>
          <w:sz w:val="28"/>
          <w:szCs w:val="28"/>
        </w:rPr>
      </w:pPr>
    </w:p>
    <w:p w14:paraId="175ADD4F" w14:textId="0D3AA76B" w:rsidR="00316356" w:rsidRDefault="00316356" w:rsidP="00C16B11">
      <w:pPr>
        <w:spacing w:after="0"/>
        <w:rPr>
          <w:rFonts w:ascii="Arial" w:hAnsi="Arial" w:cs="Arial"/>
          <w:b/>
        </w:rPr>
      </w:pPr>
    </w:p>
    <w:p w14:paraId="6781256E" w14:textId="2D308ADC" w:rsidR="00316356" w:rsidRDefault="00316356" w:rsidP="00C16B11">
      <w:pPr>
        <w:spacing w:after="0"/>
        <w:rPr>
          <w:rFonts w:ascii="Arial" w:hAnsi="Arial" w:cs="Arial"/>
          <w:b/>
        </w:rPr>
      </w:pPr>
    </w:p>
    <w:p w14:paraId="09561F0F" w14:textId="77777777" w:rsidR="00316356" w:rsidRDefault="00316356" w:rsidP="00C16B11">
      <w:pPr>
        <w:spacing w:after="0"/>
        <w:rPr>
          <w:rFonts w:ascii="Arial" w:hAnsi="Arial" w:cs="Arial"/>
          <w:b/>
        </w:rPr>
      </w:pPr>
    </w:p>
    <w:p w14:paraId="32E60CF1" w14:textId="77777777" w:rsidR="00316356" w:rsidRDefault="00316356" w:rsidP="00055FAA">
      <w:pPr>
        <w:spacing w:after="0"/>
        <w:rPr>
          <w:rFonts w:ascii="Arial" w:hAnsi="Arial" w:cs="Arial"/>
          <w:b/>
        </w:rPr>
      </w:pPr>
    </w:p>
    <w:p w14:paraId="010840A5" w14:textId="77777777" w:rsidR="00316356" w:rsidRDefault="00316356" w:rsidP="00055FAA">
      <w:pPr>
        <w:spacing w:after="0"/>
        <w:rPr>
          <w:rFonts w:ascii="Arial" w:hAnsi="Arial" w:cs="Arial"/>
          <w:b/>
        </w:rPr>
      </w:pPr>
    </w:p>
    <w:p w14:paraId="14EA19CA" w14:textId="20140E0F" w:rsidR="00055FAA" w:rsidRDefault="00F522F6" w:rsidP="00055FAA">
      <w:pPr>
        <w:spacing w:after="0"/>
        <w:rPr>
          <w:rFonts w:cstheme="minorHAnsi"/>
        </w:rPr>
      </w:pPr>
      <w:r>
        <w:rPr>
          <w:rFonts w:cstheme="minorHAnsi"/>
        </w:rPr>
        <w:t xml:space="preserve">In accordance with </w:t>
      </w:r>
      <w:r w:rsidR="00B81EAD" w:rsidRPr="00B81EAD">
        <w:rPr>
          <w:rFonts w:cstheme="minorHAnsi"/>
        </w:rPr>
        <w:t xml:space="preserve">Rule 14 </w:t>
      </w:r>
      <w:r w:rsidR="00B81EAD">
        <w:rPr>
          <w:rFonts w:cstheme="minorHAnsi"/>
        </w:rPr>
        <w:t>of the Rules of Procedure adopted by the 9</w:t>
      </w:r>
      <w:r w:rsidR="00B81EAD" w:rsidRPr="00B81EAD">
        <w:rPr>
          <w:rFonts w:cstheme="minorHAnsi"/>
          <w:vertAlign w:val="superscript"/>
        </w:rPr>
        <w:t>th</w:t>
      </w:r>
      <w:r w:rsidR="00B81EAD">
        <w:rPr>
          <w:rFonts w:cstheme="minorHAnsi"/>
        </w:rPr>
        <w:t xml:space="preserve"> Meeting of Partners (2017) as </w:t>
      </w:r>
      <w:r w:rsidR="00124B56">
        <w:rPr>
          <w:rFonts w:cstheme="minorHAnsi"/>
        </w:rPr>
        <w:t>MoP</w:t>
      </w:r>
      <w:r w:rsidR="00B81EAD">
        <w:rPr>
          <w:rFonts w:cstheme="minorHAnsi"/>
        </w:rPr>
        <w:t xml:space="preserve">9/D5, </w:t>
      </w:r>
      <w:r w:rsidR="00F8330C">
        <w:rPr>
          <w:rFonts w:cstheme="minorHAnsi"/>
        </w:rPr>
        <w:t>Appendix 1</w:t>
      </w:r>
      <w:r>
        <w:rPr>
          <w:rFonts w:cstheme="minorHAnsi"/>
        </w:rPr>
        <w:t xml:space="preserve"> </w:t>
      </w:r>
      <w:r w:rsidR="00B81EAD" w:rsidRPr="00B81EAD">
        <w:rPr>
          <w:rFonts w:cstheme="minorHAnsi"/>
        </w:rPr>
        <w:t>report</w:t>
      </w:r>
      <w:r>
        <w:rPr>
          <w:rFonts w:cstheme="minorHAnsi"/>
        </w:rPr>
        <w:t>s</w:t>
      </w:r>
      <w:r w:rsidR="00B81EAD" w:rsidRPr="00B81EAD">
        <w:rPr>
          <w:rFonts w:cstheme="minorHAnsi"/>
        </w:rPr>
        <w:t xml:space="preserve"> on the </w:t>
      </w:r>
      <w:bookmarkStart w:id="2" w:name="_Hlk529454667"/>
      <w:r w:rsidR="00B81EAD" w:rsidRPr="00B81EAD">
        <w:rPr>
          <w:rFonts w:cstheme="minorHAnsi"/>
        </w:rPr>
        <w:t xml:space="preserve">administrative and financial implications of all substantive agenda items </w:t>
      </w:r>
      <w:bookmarkEnd w:id="2"/>
      <w:r w:rsidR="00B81EAD" w:rsidRPr="00B81EAD">
        <w:rPr>
          <w:rFonts w:cstheme="minorHAnsi"/>
        </w:rPr>
        <w:t>submitted to the M</w:t>
      </w:r>
      <w:r w:rsidR="00124B56">
        <w:rPr>
          <w:rFonts w:cstheme="minorHAnsi"/>
        </w:rPr>
        <w:t>o</w:t>
      </w:r>
      <w:r w:rsidR="00B81EAD" w:rsidRPr="00B81EAD">
        <w:rPr>
          <w:rFonts w:cstheme="minorHAnsi"/>
        </w:rPr>
        <w:t>P</w:t>
      </w:r>
      <w:r>
        <w:rPr>
          <w:rFonts w:cstheme="minorHAnsi"/>
        </w:rPr>
        <w:t>10.</w:t>
      </w:r>
      <w:r w:rsidR="00921B4D">
        <w:rPr>
          <w:rFonts w:cstheme="minorHAnsi"/>
        </w:rPr>
        <w:t xml:space="preserve"> </w:t>
      </w:r>
    </w:p>
    <w:p w14:paraId="449FA2C8" w14:textId="77777777" w:rsidR="00055FAA" w:rsidRDefault="00055FAA" w:rsidP="00055FAA">
      <w:pPr>
        <w:spacing w:after="0"/>
        <w:rPr>
          <w:rFonts w:cstheme="minorHAnsi"/>
        </w:rPr>
      </w:pPr>
    </w:p>
    <w:p w14:paraId="010C08D6" w14:textId="4E312847" w:rsidR="005B0553" w:rsidRDefault="00921B4D" w:rsidP="00055FAA">
      <w:pPr>
        <w:spacing w:after="0"/>
        <w:rPr>
          <w:rFonts w:cstheme="minorHAnsi"/>
        </w:rPr>
      </w:pPr>
      <w:r>
        <w:rPr>
          <w:rFonts w:cstheme="minorHAnsi"/>
        </w:rPr>
        <w:t>Th</w:t>
      </w:r>
      <w:r w:rsidR="00D472BB">
        <w:rPr>
          <w:rFonts w:cstheme="minorHAnsi"/>
        </w:rPr>
        <w:t xml:space="preserve">e figures in Appendix 1 are an estimate produced by the Secretariat </w:t>
      </w:r>
      <w:r w:rsidR="00055FAA">
        <w:rPr>
          <w:rFonts w:cstheme="minorHAnsi"/>
        </w:rPr>
        <w:t xml:space="preserve">and shows that if all the </w:t>
      </w:r>
      <w:r w:rsidR="00D472BB">
        <w:rPr>
          <w:rFonts w:cstheme="minorHAnsi"/>
        </w:rPr>
        <w:t xml:space="preserve">recommendation </w:t>
      </w:r>
      <w:r w:rsidR="00055FAA">
        <w:rPr>
          <w:rFonts w:cstheme="minorHAnsi"/>
        </w:rPr>
        <w:t xml:space="preserve">in the </w:t>
      </w:r>
      <w:r w:rsidR="00AA029C">
        <w:rPr>
          <w:rFonts w:cstheme="minorHAnsi"/>
        </w:rPr>
        <w:t xml:space="preserve">agenda items </w:t>
      </w:r>
      <w:r w:rsidR="00055FAA">
        <w:rPr>
          <w:rFonts w:cstheme="minorHAnsi"/>
        </w:rPr>
        <w:t xml:space="preserve">are to be implemented, then the Secretariat will require an estimated 417 staff-days and USD 300,000 in terms of additional funding. This is equivalent to the need to hiring another one full-time and one part-time staff and increasing the Secretariat’s annual budget by more than 66%. </w:t>
      </w:r>
    </w:p>
    <w:p w14:paraId="1E072D7E" w14:textId="77777777" w:rsidR="00055FAA" w:rsidRDefault="00055FAA" w:rsidP="00055FAA">
      <w:pPr>
        <w:spacing w:after="0"/>
        <w:rPr>
          <w:rFonts w:cstheme="minorHAnsi"/>
        </w:rPr>
      </w:pPr>
    </w:p>
    <w:p w14:paraId="695CE0F7" w14:textId="7232FC23" w:rsidR="00055FAA" w:rsidRDefault="00055FAA" w:rsidP="00055FAA">
      <w:pPr>
        <w:spacing w:after="0"/>
        <w:rPr>
          <w:rFonts w:cstheme="minorHAnsi"/>
        </w:rPr>
        <w:sectPr w:rsidR="00055FAA" w:rsidSect="00B81EAD">
          <w:headerReference w:type="default" r:id="rId13"/>
          <w:footerReference w:type="default" r:id="rId14"/>
          <w:pgSz w:w="12240" w:h="15840"/>
          <w:pgMar w:top="1588" w:right="1304" w:bottom="1304" w:left="1304" w:header="720" w:footer="720" w:gutter="0"/>
          <w:cols w:space="720"/>
          <w:docGrid w:linePitch="360"/>
        </w:sectPr>
      </w:pPr>
      <w:r>
        <w:rPr>
          <w:rFonts w:cstheme="minorHAnsi"/>
        </w:rPr>
        <w:t xml:space="preserve">Partners are kindly requested to consider the additional </w:t>
      </w:r>
      <w:r w:rsidRPr="00B81EAD">
        <w:rPr>
          <w:rFonts w:cstheme="minorHAnsi"/>
        </w:rPr>
        <w:t>administrative and financial implications</w:t>
      </w:r>
      <w:r>
        <w:rPr>
          <w:rFonts w:cstheme="minorHAnsi"/>
        </w:rPr>
        <w:t xml:space="preserve"> of each of the </w:t>
      </w:r>
      <w:r w:rsidR="00AA029C">
        <w:rPr>
          <w:rFonts w:cstheme="minorHAnsi"/>
        </w:rPr>
        <w:t xml:space="preserve">agenda items </w:t>
      </w:r>
      <w:r>
        <w:rPr>
          <w:rFonts w:cstheme="minorHAnsi"/>
        </w:rPr>
        <w:t>presented to the 10</w:t>
      </w:r>
      <w:r w:rsidRPr="00055FAA">
        <w:rPr>
          <w:rFonts w:cstheme="minorHAnsi"/>
          <w:vertAlign w:val="superscript"/>
        </w:rPr>
        <w:t>th</w:t>
      </w:r>
      <w:r>
        <w:rPr>
          <w:rFonts w:cstheme="minorHAnsi"/>
        </w:rPr>
        <w:t xml:space="preserve"> Meeting of the Partners </w:t>
      </w:r>
      <w:r w:rsidR="00AA029C">
        <w:rPr>
          <w:rFonts w:cstheme="minorHAnsi"/>
        </w:rPr>
        <w:t xml:space="preserve"> as those agenda items  ae discussed.</w:t>
      </w:r>
    </w:p>
    <w:p w14:paraId="00B6D8FC" w14:textId="4BD1842B" w:rsidR="00207F47" w:rsidRPr="005B0553" w:rsidRDefault="005B0553" w:rsidP="00B81EAD">
      <w:pPr>
        <w:spacing w:after="0"/>
        <w:rPr>
          <w:rFonts w:cstheme="minorHAnsi"/>
        </w:rPr>
      </w:pPr>
      <w:r w:rsidRPr="005B0553">
        <w:rPr>
          <w:rFonts w:cstheme="minorHAnsi"/>
          <w:b/>
        </w:rPr>
        <w:lastRenderedPageBreak/>
        <w:t>Appendix 1</w:t>
      </w:r>
      <w:r w:rsidRPr="005B0553">
        <w:rPr>
          <w:rFonts w:cstheme="minorHAnsi"/>
        </w:rPr>
        <w:t>. Table showing the</w:t>
      </w:r>
      <w:r w:rsidR="00F522F6" w:rsidRPr="005B0553">
        <w:rPr>
          <w:rFonts w:cstheme="minorHAnsi"/>
        </w:rPr>
        <w:t xml:space="preserve"> Administrative and financial implications of substantive </w:t>
      </w:r>
      <w:r w:rsidR="00124B56">
        <w:rPr>
          <w:rFonts w:cstheme="minorHAnsi"/>
        </w:rPr>
        <w:t>MoP</w:t>
      </w:r>
      <w:r w:rsidR="007E4408" w:rsidRPr="005B0553">
        <w:rPr>
          <w:rFonts w:cstheme="minorHAnsi"/>
        </w:rPr>
        <w:t xml:space="preserve">10 </w:t>
      </w:r>
      <w:r w:rsidR="00F522F6" w:rsidRPr="005B0553">
        <w:rPr>
          <w:rFonts w:cstheme="minorHAnsi"/>
        </w:rPr>
        <w:t xml:space="preserve">agenda items to </w:t>
      </w:r>
      <w:r w:rsidR="00921B4D" w:rsidRPr="005B0553">
        <w:rPr>
          <w:rFonts w:cstheme="minorHAnsi"/>
        </w:rPr>
        <w:t>the EAAFP Secretariat</w:t>
      </w:r>
      <w:r w:rsidR="00F522F6" w:rsidRPr="005B0553">
        <w:rPr>
          <w:rFonts w:cstheme="minorHAnsi"/>
        </w:rPr>
        <w:t>.</w:t>
      </w:r>
    </w:p>
    <w:p w14:paraId="586C2999" w14:textId="77777777" w:rsidR="005B0553" w:rsidRDefault="005B0553" w:rsidP="00B81EAD">
      <w:pPr>
        <w:spacing w:after="0"/>
        <w:rPr>
          <w:rFonts w:cstheme="minorHAnsi"/>
        </w:rPr>
      </w:pPr>
    </w:p>
    <w:tbl>
      <w:tblPr>
        <w:tblW w:w="5154" w:type="pct"/>
        <w:tblLook w:val="04A0" w:firstRow="1" w:lastRow="0" w:firstColumn="1" w:lastColumn="0" w:noHBand="0" w:noVBand="1"/>
      </w:tblPr>
      <w:tblGrid>
        <w:gridCol w:w="3822"/>
        <w:gridCol w:w="6239"/>
        <w:gridCol w:w="1840"/>
        <w:gridCol w:w="1435"/>
      </w:tblGrid>
      <w:tr w:rsidR="006E38F3" w:rsidRPr="00E51CBD" w14:paraId="0602BF9B" w14:textId="77777777" w:rsidTr="00915BBF">
        <w:trPr>
          <w:cantSplit/>
          <w:tblHeader/>
        </w:trPr>
        <w:tc>
          <w:tcPr>
            <w:tcW w:w="1433" w:type="pct"/>
            <w:vMerge w:val="restart"/>
            <w:tcBorders>
              <w:top w:val="single" w:sz="4" w:space="0" w:color="auto"/>
              <w:left w:val="single" w:sz="4" w:space="0" w:color="auto"/>
              <w:right w:val="single" w:sz="4" w:space="0" w:color="auto"/>
            </w:tcBorders>
            <w:shd w:val="clear" w:color="auto" w:fill="D9E2F3" w:themeFill="accent1" w:themeFillTint="33"/>
            <w:vAlign w:val="center"/>
          </w:tcPr>
          <w:p w14:paraId="56679E27" w14:textId="2CDD95BD" w:rsidR="006E38F3"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Agenda item</w:t>
            </w:r>
          </w:p>
        </w:tc>
        <w:tc>
          <w:tcPr>
            <w:tcW w:w="2339" w:type="pct"/>
            <w:vMerge w:val="restart"/>
            <w:tcBorders>
              <w:top w:val="single" w:sz="4" w:space="0" w:color="auto"/>
              <w:left w:val="nil"/>
              <w:right w:val="single" w:sz="4" w:space="0" w:color="auto"/>
            </w:tcBorders>
            <w:shd w:val="clear" w:color="auto" w:fill="D9E2F3" w:themeFill="accent1" w:themeFillTint="33"/>
            <w:vAlign w:val="center"/>
          </w:tcPr>
          <w:p w14:paraId="602B1C6D" w14:textId="453B5190" w:rsidR="006E38F3"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Activities / tasks required</w:t>
            </w:r>
          </w:p>
        </w:tc>
        <w:tc>
          <w:tcPr>
            <w:tcW w:w="1228" w:type="pct"/>
            <w:gridSpan w:val="2"/>
            <w:tcBorders>
              <w:top w:val="single" w:sz="4" w:space="0" w:color="auto"/>
              <w:left w:val="nil"/>
              <w:bottom w:val="single" w:sz="4" w:space="0" w:color="auto"/>
              <w:right w:val="single" w:sz="4" w:space="0" w:color="auto"/>
            </w:tcBorders>
            <w:shd w:val="clear" w:color="auto" w:fill="D9E2F3" w:themeFill="accent1" w:themeFillTint="33"/>
            <w:vAlign w:val="center"/>
          </w:tcPr>
          <w:p w14:paraId="061C47FF" w14:textId="3C17567A" w:rsidR="006E38F3"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Implications</w:t>
            </w:r>
          </w:p>
        </w:tc>
      </w:tr>
      <w:tr w:rsidR="00915BBF" w:rsidRPr="00E51CBD" w14:paraId="1D0583B4" w14:textId="193B142E" w:rsidTr="00915BBF">
        <w:trPr>
          <w:cantSplit/>
          <w:trHeight w:val="60"/>
          <w:tblHeader/>
        </w:trPr>
        <w:tc>
          <w:tcPr>
            <w:tcW w:w="1433" w:type="pct"/>
            <w:vMerge/>
            <w:tcBorders>
              <w:left w:val="single" w:sz="4" w:space="0" w:color="auto"/>
              <w:bottom w:val="single" w:sz="4" w:space="0" w:color="auto"/>
              <w:right w:val="single" w:sz="4" w:space="0" w:color="auto"/>
            </w:tcBorders>
            <w:shd w:val="clear" w:color="auto" w:fill="D9E2F3" w:themeFill="accent1" w:themeFillTint="33"/>
            <w:vAlign w:val="center"/>
            <w:hideMark/>
          </w:tcPr>
          <w:p w14:paraId="0AA64B12" w14:textId="21C8BBE9" w:rsidR="006E38F3" w:rsidRPr="00915BBF" w:rsidRDefault="006E38F3" w:rsidP="00B81EAD">
            <w:pPr>
              <w:spacing w:after="0" w:line="240" w:lineRule="auto"/>
              <w:jc w:val="center"/>
              <w:rPr>
                <w:rFonts w:eastAsia="Times New Roman" w:cstheme="minorHAnsi"/>
                <w:b/>
                <w:bCs/>
                <w:color w:val="000000"/>
                <w:sz w:val="19"/>
                <w:szCs w:val="19"/>
                <w:lang w:eastAsia="en-GB"/>
              </w:rPr>
            </w:pPr>
          </w:p>
        </w:tc>
        <w:tc>
          <w:tcPr>
            <w:tcW w:w="2339" w:type="pct"/>
            <w:vMerge/>
            <w:tcBorders>
              <w:left w:val="nil"/>
              <w:bottom w:val="single" w:sz="4" w:space="0" w:color="auto"/>
              <w:right w:val="single" w:sz="4" w:space="0" w:color="auto"/>
            </w:tcBorders>
            <w:shd w:val="clear" w:color="auto" w:fill="D9E2F3" w:themeFill="accent1" w:themeFillTint="33"/>
            <w:vAlign w:val="center"/>
            <w:hideMark/>
          </w:tcPr>
          <w:p w14:paraId="289AB07B" w14:textId="2536DFFA" w:rsidR="006E38F3" w:rsidRPr="00915BBF" w:rsidRDefault="006E38F3" w:rsidP="00B81EAD">
            <w:pPr>
              <w:spacing w:after="0" w:line="240" w:lineRule="auto"/>
              <w:jc w:val="center"/>
              <w:rPr>
                <w:rFonts w:eastAsia="Times New Roman" w:cstheme="minorHAnsi"/>
                <w:b/>
                <w:bCs/>
                <w:color w:val="000000"/>
                <w:sz w:val="19"/>
                <w:szCs w:val="19"/>
                <w:lang w:eastAsia="en-GB"/>
              </w:rPr>
            </w:pPr>
          </w:p>
        </w:tc>
        <w:tc>
          <w:tcPr>
            <w:tcW w:w="69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39EFE6F" w14:textId="677EC682" w:rsidR="007E4408" w:rsidRPr="00915BBF" w:rsidRDefault="006E38F3" w:rsidP="00EA787F">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 xml:space="preserve">Administrative </w:t>
            </w:r>
            <w:r w:rsidR="007E4408" w:rsidRPr="00915BBF">
              <w:rPr>
                <w:rFonts w:eastAsia="Times New Roman" w:cstheme="minorHAnsi"/>
                <w:b/>
                <w:bCs/>
                <w:color w:val="000000"/>
                <w:sz w:val="19"/>
                <w:szCs w:val="19"/>
                <w:lang w:eastAsia="en-GB"/>
              </w:rPr>
              <w:t>:</w:t>
            </w:r>
          </w:p>
          <w:p w14:paraId="51712856" w14:textId="5977594C" w:rsidR="006E38F3" w:rsidRPr="00915BBF" w:rsidRDefault="006E38F3" w:rsidP="00EA787F">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staff time (days</w:t>
            </w:r>
            <w:r w:rsidR="0085002D" w:rsidRPr="00915BBF">
              <w:rPr>
                <w:rFonts w:eastAsia="Times New Roman" w:cstheme="minorHAnsi"/>
                <w:b/>
                <w:bCs/>
                <w:color w:val="000000"/>
                <w:sz w:val="19"/>
                <w:szCs w:val="19"/>
                <w:lang w:eastAsia="en-GB"/>
              </w:rPr>
              <w:t>/</w:t>
            </w:r>
            <w:proofErr w:type="spellStart"/>
            <w:r w:rsidR="0085002D" w:rsidRPr="00915BBF">
              <w:rPr>
                <w:rFonts w:eastAsia="Times New Roman" w:cstheme="minorHAnsi"/>
                <w:b/>
                <w:bCs/>
                <w:color w:val="000000"/>
                <w:sz w:val="19"/>
                <w:szCs w:val="19"/>
                <w:lang w:eastAsia="en-GB"/>
              </w:rPr>
              <w:t>yr</w:t>
            </w:r>
            <w:proofErr w:type="spellEnd"/>
            <w:r w:rsidRPr="00915BBF">
              <w:rPr>
                <w:rFonts w:eastAsia="Times New Roman" w:cstheme="minorHAnsi"/>
                <w:b/>
                <w:bCs/>
                <w:color w:val="000000"/>
                <w:sz w:val="19"/>
                <w:szCs w:val="19"/>
                <w:lang w:eastAsia="en-GB"/>
              </w:rPr>
              <w:t>)</w:t>
            </w:r>
          </w:p>
        </w:tc>
        <w:tc>
          <w:tcPr>
            <w:tcW w:w="538"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6374BA7A" w14:textId="58996409" w:rsidR="007E4408"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 xml:space="preserve">Financial </w:t>
            </w:r>
            <w:r w:rsidR="007E4408" w:rsidRPr="00915BBF">
              <w:rPr>
                <w:rFonts w:eastAsia="Times New Roman" w:cstheme="minorHAnsi"/>
                <w:b/>
                <w:bCs/>
                <w:color w:val="000000"/>
                <w:sz w:val="19"/>
                <w:szCs w:val="19"/>
                <w:lang w:eastAsia="en-GB"/>
              </w:rPr>
              <w:t xml:space="preserve">: </w:t>
            </w:r>
          </w:p>
          <w:p w14:paraId="7D255A48" w14:textId="18A3EAD5" w:rsidR="006E38F3" w:rsidRPr="00915BBF" w:rsidRDefault="007E4408"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 xml:space="preserve">non-core </w:t>
            </w:r>
            <w:r w:rsidR="006E38F3" w:rsidRPr="00915BBF">
              <w:rPr>
                <w:rFonts w:eastAsia="Times New Roman" w:cstheme="minorHAnsi"/>
                <w:b/>
                <w:bCs/>
                <w:color w:val="000000"/>
                <w:sz w:val="19"/>
                <w:szCs w:val="19"/>
                <w:lang w:eastAsia="en-GB"/>
              </w:rPr>
              <w:t>(USD)</w:t>
            </w:r>
          </w:p>
        </w:tc>
      </w:tr>
      <w:tr w:rsidR="007102E7" w:rsidRPr="00E51CBD" w14:paraId="36D12951" w14:textId="36052B49"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hideMark/>
          </w:tcPr>
          <w:p w14:paraId="778E8643" w14:textId="2941673C" w:rsidR="002519F1" w:rsidRPr="00915BBF" w:rsidRDefault="002519F1" w:rsidP="00B81EAD">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 Rules of Procedure</w:t>
            </w:r>
          </w:p>
        </w:tc>
        <w:tc>
          <w:tcPr>
            <w:tcW w:w="2339" w:type="pct"/>
            <w:tcBorders>
              <w:top w:val="single" w:sz="4" w:space="0" w:color="auto"/>
              <w:left w:val="nil"/>
              <w:bottom w:val="single" w:sz="4" w:space="0" w:color="auto"/>
              <w:right w:val="single" w:sz="4" w:space="0" w:color="auto"/>
            </w:tcBorders>
            <w:shd w:val="clear" w:color="auto" w:fill="auto"/>
            <w:hideMark/>
          </w:tcPr>
          <w:p w14:paraId="31C1A729" w14:textId="548A6F88" w:rsidR="002519F1" w:rsidRPr="00915BBF" w:rsidRDefault="002519F1" w:rsidP="00B81EAD">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No </w:t>
            </w:r>
            <w:r w:rsidR="002D0616" w:rsidRPr="00915BBF">
              <w:rPr>
                <w:rFonts w:eastAsia="Times New Roman" w:cstheme="minorHAnsi"/>
                <w:color w:val="000000"/>
                <w:sz w:val="19"/>
                <w:szCs w:val="19"/>
                <w:lang w:eastAsia="en-GB"/>
              </w:rPr>
              <w:t xml:space="preserve">additional </w:t>
            </w:r>
            <w:r w:rsidRPr="00915BBF">
              <w:rPr>
                <w:rFonts w:eastAsia="Times New Roman" w:cstheme="minorHAnsi"/>
                <w:color w:val="000000"/>
                <w:sz w:val="19"/>
                <w:szCs w:val="19"/>
                <w:lang w:eastAsia="en-GB"/>
              </w:rPr>
              <w:t>implications.</w:t>
            </w:r>
          </w:p>
        </w:tc>
        <w:tc>
          <w:tcPr>
            <w:tcW w:w="690" w:type="pct"/>
            <w:tcBorders>
              <w:top w:val="single" w:sz="4" w:space="0" w:color="auto"/>
              <w:left w:val="nil"/>
              <w:bottom w:val="single" w:sz="4" w:space="0" w:color="auto"/>
              <w:right w:val="single" w:sz="4" w:space="0" w:color="auto"/>
            </w:tcBorders>
            <w:shd w:val="clear" w:color="auto" w:fill="auto"/>
            <w:hideMark/>
          </w:tcPr>
          <w:p w14:paraId="6D369C3E" w14:textId="77777777" w:rsidR="002519F1" w:rsidRPr="00915BBF" w:rsidRDefault="002519F1" w:rsidP="00EA787F">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6314FA3F" w14:textId="2D9D751C" w:rsidR="002519F1" w:rsidRPr="00915BBF" w:rsidRDefault="002519F1" w:rsidP="00B81EAD">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57D6105B" w14:textId="4BDED0B4"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134EA8C" w14:textId="7861846D"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Doc.2 Provisional Agenda</w:t>
            </w:r>
          </w:p>
        </w:tc>
        <w:tc>
          <w:tcPr>
            <w:tcW w:w="2339" w:type="pct"/>
            <w:tcBorders>
              <w:top w:val="single" w:sz="4" w:space="0" w:color="auto"/>
              <w:left w:val="nil"/>
              <w:bottom w:val="single" w:sz="4" w:space="0" w:color="auto"/>
              <w:right w:val="single" w:sz="4" w:space="0" w:color="auto"/>
            </w:tcBorders>
            <w:shd w:val="clear" w:color="auto" w:fill="auto"/>
          </w:tcPr>
          <w:p w14:paraId="5616BD4C" w14:textId="17C305CF"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4168EE8A" w14:textId="2021C4D7"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71940D7B" w14:textId="4A892F9E"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46B057DA"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495BAE5D" w14:textId="39ACC853"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Doc.3 Provisional Program</w:t>
            </w:r>
          </w:p>
        </w:tc>
        <w:tc>
          <w:tcPr>
            <w:tcW w:w="2339" w:type="pct"/>
            <w:tcBorders>
              <w:top w:val="single" w:sz="4" w:space="0" w:color="auto"/>
              <w:left w:val="nil"/>
              <w:bottom w:val="single" w:sz="4" w:space="0" w:color="auto"/>
              <w:right w:val="single" w:sz="4" w:space="0" w:color="auto"/>
            </w:tcBorders>
            <w:shd w:val="clear" w:color="auto" w:fill="auto"/>
          </w:tcPr>
          <w:p w14:paraId="5D3CF907" w14:textId="55E35B1D"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072A7A2E" w14:textId="04D894FE"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39DFB20" w14:textId="03D87459"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7D1FD5D8"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4A882C26" w14:textId="0342607F"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Doc.4 Draft minutes from </w:t>
            </w:r>
            <w:r w:rsidR="00124B56">
              <w:rPr>
                <w:rFonts w:eastAsia="Times New Roman" w:cstheme="minorHAnsi"/>
                <w:color w:val="000000"/>
                <w:sz w:val="19"/>
                <w:szCs w:val="19"/>
                <w:lang w:eastAsia="en-GB"/>
              </w:rPr>
              <w:t>MoP</w:t>
            </w:r>
            <w:r w:rsidRPr="00915BBF">
              <w:rPr>
                <w:rFonts w:eastAsia="Times New Roman" w:cstheme="minorHAnsi"/>
                <w:color w:val="000000"/>
                <w:sz w:val="19"/>
                <w:szCs w:val="19"/>
                <w:lang w:eastAsia="en-GB"/>
              </w:rPr>
              <w:t>9</w:t>
            </w:r>
          </w:p>
        </w:tc>
        <w:tc>
          <w:tcPr>
            <w:tcW w:w="2339" w:type="pct"/>
            <w:tcBorders>
              <w:top w:val="single" w:sz="4" w:space="0" w:color="auto"/>
              <w:left w:val="nil"/>
              <w:bottom w:val="single" w:sz="4" w:space="0" w:color="auto"/>
              <w:right w:val="single" w:sz="4" w:space="0" w:color="auto"/>
            </w:tcBorders>
            <w:shd w:val="clear" w:color="auto" w:fill="auto"/>
          </w:tcPr>
          <w:p w14:paraId="651297FA" w14:textId="2C807129"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155D3A6C" w14:textId="00105AC9"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34970A97" w14:textId="0E7772E4"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03C9F0D5"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4F5E4E5" w14:textId="23A4D774"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Doc.5 Report from the Chair of the Management Committee</w:t>
            </w:r>
          </w:p>
        </w:tc>
        <w:tc>
          <w:tcPr>
            <w:tcW w:w="2339" w:type="pct"/>
            <w:tcBorders>
              <w:top w:val="single" w:sz="4" w:space="0" w:color="auto"/>
              <w:left w:val="nil"/>
              <w:bottom w:val="single" w:sz="4" w:space="0" w:color="auto"/>
              <w:right w:val="single" w:sz="4" w:space="0" w:color="auto"/>
            </w:tcBorders>
            <w:shd w:val="clear" w:color="auto" w:fill="auto"/>
          </w:tcPr>
          <w:p w14:paraId="585AFAAF" w14:textId="541D7315"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vAlign w:val="center"/>
          </w:tcPr>
          <w:p w14:paraId="354FEF14" w14:textId="09FFFD22"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vAlign w:val="center"/>
          </w:tcPr>
          <w:p w14:paraId="5693B47F" w14:textId="3C9EC8C2"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058E95AC"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7528C6E9" w14:textId="248FD449"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Doc.6 Report from the Chair of the Finance </w:t>
            </w:r>
            <w:r w:rsidR="00124B56">
              <w:rPr>
                <w:rFonts w:eastAsia="Times New Roman" w:cstheme="minorHAnsi"/>
                <w:color w:val="000000"/>
                <w:sz w:val="19"/>
                <w:szCs w:val="19"/>
                <w:lang w:eastAsia="en-GB"/>
              </w:rPr>
              <w:t>Sub-</w:t>
            </w:r>
            <w:r w:rsidRPr="00915BBF">
              <w:rPr>
                <w:rFonts w:eastAsia="Times New Roman" w:cstheme="minorHAnsi"/>
                <w:color w:val="000000"/>
                <w:sz w:val="19"/>
                <w:szCs w:val="19"/>
                <w:lang w:eastAsia="en-GB"/>
              </w:rPr>
              <w:t>Committee</w:t>
            </w:r>
          </w:p>
        </w:tc>
        <w:tc>
          <w:tcPr>
            <w:tcW w:w="2339" w:type="pct"/>
            <w:tcBorders>
              <w:top w:val="single" w:sz="4" w:space="0" w:color="auto"/>
              <w:left w:val="nil"/>
              <w:bottom w:val="single" w:sz="4" w:space="0" w:color="auto"/>
              <w:right w:val="single" w:sz="4" w:space="0" w:color="auto"/>
            </w:tcBorders>
            <w:shd w:val="clear" w:color="auto" w:fill="auto"/>
          </w:tcPr>
          <w:p w14:paraId="3863C6F1" w14:textId="60C93E35"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6D3CD69" w14:textId="236463C1"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667C2862" w14:textId="5D539730"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799B8843"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4A109B42" w14:textId="69E6B9FF"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Doc.7 Report of the Secretariat and activities 2017-2018</w:t>
            </w:r>
          </w:p>
        </w:tc>
        <w:tc>
          <w:tcPr>
            <w:tcW w:w="2339" w:type="pct"/>
            <w:tcBorders>
              <w:top w:val="single" w:sz="4" w:space="0" w:color="auto"/>
              <w:left w:val="nil"/>
              <w:bottom w:val="single" w:sz="4" w:space="0" w:color="auto"/>
              <w:right w:val="single" w:sz="4" w:space="0" w:color="auto"/>
            </w:tcBorders>
            <w:shd w:val="clear" w:color="auto" w:fill="auto"/>
          </w:tcPr>
          <w:p w14:paraId="7A212085" w14:textId="67DCC399"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3E97D95" w14:textId="005E0B5A"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F83B34B" w14:textId="45F40268"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41D2F4B6"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5EC75B17" w14:textId="20592A43"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Doc.8 Plan for the Secretariat budget and activities 2019-2020</w:t>
            </w:r>
          </w:p>
        </w:tc>
        <w:tc>
          <w:tcPr>
            <w:tcW w:w="2339" w:type="pct"/>
            <w:tcBorders>
              <w:top w:val="single" w:sz="4" w:space="0" w:color="auto"/>
              <w:left w:val="nil"/>
              <w:bottom w:val="single" w:sz="4" w:space="0" w:color="auto"/>
              <w:right w:val="single" w:sz="4" w:space="0" w:color="auto"/>
            </w:tcBorders>
            <w:shd w:val="clear" w:color="auto" w:fill="auto"/>
          </w:tcPr>
          <w:p w14:paraId="20FE58CD" w14:textId="61D0B01C"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58A162F9" w14:textId="1E010F6B"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425ED4A1" w14:textId="29B94F45"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1BD34E2B"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2531F4DD" w14:textId="7656D172"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Doc.9 Report on implementation of the Partnership</w:t>
            </w:r>
          </w:p>
        </w:tc>
        <w:tc>
          <w:tcPr>
            <w:tcW w:w="2339" w:type="pct"/>
            <w:tcBorders>
              <w:top w:val="single" w:sz="4" w:space="0" w:color="auto"/>
              <w:left w:val="nil"/>
              <w:bottom w:val="single" w:sz="4" w:space="0" w:color="auto"/>
              <w:right w:val="single" w:sz="4" w:space="0" w:color="auto"/>
            </w:tcBorders>
            <w:shd w:val="clear" w:color="auto" w:fill="auto"/>
          </w:tcPr>
          <w:p w14:paraId="088B8161" w14:textId="2BBED323"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AEF1777" w14:textId="45CE940E"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71641708" w14:textId="64964410"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4357E1" w:rsidRPr="00E51CBD" w14:paraId="469254EC"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146A90E7" w14:textId="152F81C7"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Doc.10 The status and management of FNSs</w:t>
            </w:r>
          </w:p>
        </w:tc>
        <w:tc>
          <w:tcPr>
            <w:tcW w:w="2339" w:type="pct"/>
            <w:tcBorders>
              <w:top w:val="single" w:sz="4" w:space="0" w:color="auto"/>
              <w:left w:val="nil"/>
              <w:bottom w:val="single" w:sz="4" w:space="0" w:color="auto"/>
              <w:right w:val="single" w:sz="4" w:space="0" w:color="auto"/>
            </w:tcBorders>
            <w:shd w:val="clear" w:color="auto" w:fill="auto"/>
          </w:tcPr>
          <w:p w14:paraId="5745BA1E" w14:textId="3E7EB6B4"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290206B0" w14:textId="1E33E0F9"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4DC75618" w14:textId="474A722B"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4357E1" w:rsidRPr="00E51CBD" w14:paraId="17F45B33"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76D0CAB5" w14:textId="1FF1D16A"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Doc.11 Admission of observers </w:t>
            </w:r>
          </w:p>
        </w:tc>
        <w:tc>
          <w:tcPr>
            <w:tcW w:w="2339" w:type="pct"/>
            <w:tcBorders>
              <w:top w:val="single" w:sz="4" w:space="0" w:color="auto"/>
              <w:left w:val="nil"/>
              <w:bottom w:val="single" w:sz="4" w:space="0" w:color="auto"/>
              <w:right w:val="single" w:sz="4" w:space="0" w:color="auto"/>
            </w:tcBorders>
            <w:shd w:val="clear" w:color="auto" w:fill="auto"/>
          </w:tcPr>
          <w:p w14:paraId="42FD6DF3" w14:textId="19BECF59"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0F6FE836" w14:textId="44AEB41D"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532C066E" w14:textId="7D408D3B"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4357E1" w:rsidRPr="00E51CBD" w14:paraId="202BE132"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251C04B0" w14:textId="447EEDED"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Doc.12 Implication of agenda items</w:t>
            </w:r>
          </w:p>
        </w:tc>
        <w:tc>
          <w:tcPr>
            <w:tcW w:w="2339" w:type="pct"/>
            <w:tcBorders>
              <w:top w:val="single" w:sz="4" w:space="0" w:color="auto"/>
              <w:left w:val="nil"/>
              <w:bottom w:val="single" w:sz="4" w:space="0" w:color="auto"/>
              <w:right w:val="single" w:sz="4" w:space="0" w:color="auto"/>
            </w:tcBorders>
            <w:shd w:val="clear" w:color="auto" w:fill="auto"/>
          </w:tcPr>
          <w:p w14:paraId="3EECA409" w14:textId="595DEE91"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175DCDC8" w14:textId="60A10796"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4AC2356" w14:textId="1CACF2BD"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57F111AC"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369B0" w14:textId="77777777" w:rsidR="004357E1" w:rsidRPr="00915BBF" w:rsidRDefault="004357E1" w:rsidP="004357E1">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F2F2F2" w:themeFill="background1" w:themeFillShade="F2"/>
          </w:tcPr>
          <w:p w14:paraId="495A6359" w14:textId="77777777" w:rsidR="004357E1" w:rsidRPr="00915BBF" w:rsidRDefault="004357E1" w:rsidP="004357E1">
            <w:pPr>
              <w:spacing w:after="0" w:line="240" w:lineRule="auto"/>
              <w:rPr>
                <w:rFonts w:eastAsia="Times New Roman" w:cstheme="minorHAnsi"/>
                <w:color w:val="000000"/>
                <w:sz w:val="19"/>
                <w:szCs w:val="19"/>
                <w:lang w:eastAsia="en-GB"/>
              </w:rPr>
            </w:pPr>
          </w:p>
        </w:tc>
        <w:tc>
          <w:tcPr>
            <w:tcW w:w="690" w:type="pct"/>
            <w:tcBorders>
              <w:top w:val="single" w:sz="4" w:space="0" w:color="auto"/>
              <w:left w:val="nil"/>
              <w:bottom w:val="single" w:sz="4" w:space="0" w:color="auto"/>
              <w:right w:val="single" w:sz="4" w:space="0" w:color="auto"/>
            </w:tcBorders>
            <w:shd w:val="clear" w:color="auto" w:fill="F2F2F2" w:themeFill="background1" w:themeFillShade="F2"/>
          </w:tcPr>
          <w:p w14:paraId="2BA22214" w14:textId="77777777" w:rsidR="004357E1" w:rsidRPr="00915BBF" w:rsidRDefault="004357E1" w:rsidP="004357E1">
            <w:pPr>
              <w:spacing w:after="0" w:line="240" w:lineRule="auto"/>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F2F2F2" w:themeFill="background1" w:themeFillShade="F2"/>
          </w:tcPr>
          <w:p w14:paraId="06021D74" w14:textId="77777777" w:rsidR="004357E1" w:rsidRPr="00915BBF" w:rsidRDefault="004357E1" w:rsidP="004357E1">
            <w:pPr>
              <w:spacing w:after="0" w:line="240" w:lineRule="auto"/>
              <w:jc w:val="right"/>
              <w:rPr>
                <w:rFonts w:eastAsia="Times New Roman" w:cstheme="minorHAnsi"/>
                <w:color w:val="000000"/>
                <w:sz w:val="19"/>
                <w:szCs w:val="19"/>
                <w:lang w:eastAsia="en-GB"/>
              </w:rPr>
            </w:pPr>
          </w:p>
        </w:tc>
      </w:tr>
      <w:tr w:rsidR="004357E1" w:rsidRPr="00E51CBD" w14:paraId="190F44D6"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563FC887" w14:textId="542A4765"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 EAAFP Strategic Plan 2019-2028</w:t>
            </w:r>
          </w:p>
        </w:tc>
        <w:tc>
          <w:tcPr>
            <w:tcW w:w="2339" w:type="pct"/>
            <w:tcBorders>
              <w:top w:val="single" w:sz="4" w:space="0" w:color="auto"/>
              <w:left w:val="nil"/>
              <w:bottom w:val="single" w:sz="4" w:space="0" w:color="auto"/>
              <w:right w:val="single" w:sz="4" w:space="0" w:color="auto"/>
            </w:tcBorders>
            <w:shd w:val="clear" w:color="auto" w:fill="auto"/>
          </w:tcPr>
          <w:p w14:paraId="67FCC319" w14:textId="6E478E4F" w:rsidR="004357E1" w:rsidRPr="00915BBF" w:rsidRDefault="00BC1200"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to support the Finance </w:t>
            </w:r>
            <w:r w:rsidR="00124B56">
              <w:rPr>
                <w:rFonts w:eastAsia="Times New Roman" w:cstheme="minorHAnsi"/>
                <w:color w:val="000000"/>
                <w:sz w:val="19"/>
                <w:szCs w:val="19"/>
                <w:lang w:eastAsia="en-GB"/>
              </w:rPr>
              <w:t>Sub-</w:t>
            </w:r>
            <w:r w:rsidRPr="00915BBF">
              <w:rPr>
                <w:rFonts w:eastAsia="Times New Roman" w:cstheme="minorHAnsi"/>
                <w:color w:val="000000"/>
                <w:sz w:val="19"/>
                <w:szCs w:val="19"/>
                <w:lang w:eastAsia="en-GB"/>
              </w:rPr>
              <w:t>Committee to develop the Resourcing Plan for funding for the first 2 years of the Strategic Plan.</w:t>
            </w:r>
          </w:p>
        </w:tc>
        <w:tc>
          <w:tcPr>
            <w:tcW w:w="690" w:type="pct"/>
            <w:tcBorders>
              <w:top w:val="single" w:sz="4" w:space="0" w:color="auto"/>
              <w:left w:val="nil"/>
              <w:bottom w:val="single" w:sz="4" w:space="0" w:color="auto"/>
              <w:right w:val="single" w:sz="4" w:space="0" w:color="auto"/>
            </w:tcBorders>
            <w:shd w:val="clear" w:color="auto" w:fill="auto"/>
          </w:tcPr>
          <w:p w14:paraId="66D5910A" w14:textId="5A5C12DC" w:rsidR="004357E1" w:rsidRPr="00915BBF" w:rsidRDefault="00BC1200"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r w:rsidR="004357E1"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2A2A093F" w14:textId="7FC7A906" w:rsidR="004357E1" w:rsidRPr="00915BBF" w:rsidRDefault="00BC1200"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w:t>
            </w:r>
            <w:r w:rsidR="004357E1" w:rsidRPr="00915BBF">
              <w:rPr>
                <w:rFonts w:eastAsia="Times New Roman" w:cstheme="minorHAnsi"/>
                <w:color w:val="000000"/>
                <w:sz w:val="19"/>
                <w:szCs w:val="19"/>
                <w:lang w:eastAsia="en-GB"/>
              </w:rPr>
              <w:t>0</w:t>
            </w:r>
          </w:p>
        </w:tc>
      </w:tr>
      <w:tr w:rsidR="00915BBF" w:rsidRPr="00E51CBD" w14:paraId="546D250B"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79D07B76" w14:textId="51F4AE81" w:rsidR="000D75EE" w:rsidRPr="00915BBF" w:rsidRDefault="000D75EE"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DD.02 CEPA Strategy and Action Plan 2017-2021</w:t>
            </w:r>
          </w:p>
        </w:tc>
        <w:tc>
          <w:tcPr>
            <w:tcW w:w="2339" w:type="pct"/>
            <w:tcBorders>
              <w:top w:val="single" w:sz="4" w:space="0" w:color="auto"/>
              <w:left w:val="nil"/>
              <w:bottom w:val="single" w:sz="4" w:space="0" w:color="auto"/>
              <w:right w:val="single" w:sz="4" w:space="0" w:color="auto"/>
            </w:tcBorders>
            <w:shd w:val="clear" w:color="auto" w:fill="auto"/>
          </w:tcPr>
          <w:p w14:paraId="4E1D6723" w14:textId="50A99C0A" w:rsidR="000D75EE" w:rsidRPr="00915BBF" w:rsidRDefault="000D75EE"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sends welcome letters to new FPs to introduce their role and to update them on the current implementation of the Partnership in their country.</w:t>
            </w:r>
          </w:p>
        </w:tc>
        <w:tc>
          <w:tcPr>
            <w:tcW w:w="690" w:type="pct"/>
            <w:tcBorders>
              <w:top w:val="single" w:sz="4" w:space="0" w:color="auto"/>
              <w:left w:val="nil"/>
              <w:bottom w:val="single" w:sz="4" w:space="0" w:color="auto"/>
              <w:right w:val="single" w:sz="4" w:space="0" w:color="auto"/>
            </w:tcBorders>
            <w:shd w:val="clear" w:color="auto" w:fill="auto"/>
          </w:tcPr>
          <w:p w14:paraId="590A7A90" w14:textId="4EF5733A" w:rsidR="000D75EE" w:rsidRPr="00915BBF" w:rsidRDefault="000D75EE"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020CBFC8" w14:textId="7BC524AD" w:rsidR="000D75EE" w:rsidRPr="00915BBF" w:rsidRDefault="000D75EE"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w:t>
            </w:r>
          </w:p>
        </w:tc>
      </w:tr>
      <w:tr w:rsidR="00915BBF" w:rsidRPr="00E51CBD" w14:paraId="27BD3437" w14:textId="77777777" w:rsidTr="00915BBF">
        <w:trPr>
          <w:cantSplit/>
        </w:trPr>
        <w:tc>
          <w:tcPr>
            <w:tcW w:w="1433" w:type="pct"/>
            <w:vMerge/>
            <w:tcBorders>
              <w:left w:val="single" w:sz="4" w:space="0" w:color="auto"/>
              <w:right w:val="single" w:sz="4" w:space="0" w:color="auto"/>
            </w:tcBorders>
            <w:shd w:val="clear" w:color="auto" w:fill="auto"/>
          </w:tcPr>
          <w:p w14:paraId="51DC941F"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62B408E" w14:textId="6E02CF72"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provides information, materials, and training to FPs to support implementation.</w:t>
            </w:r>
          </w:p>
        </w:tc>
        <w:tc>
          <w:tcPr>
            <w:tcW w:w="690" w:type="pct"/>
            <w:tcBorders>
              <w:top w:val="single" w:sz="4" w:space="0" w:color="auto"/>
              <w:left w:val="nil"/>
              <w:bottom w:val="single" w:sz="4" w:space="0" w:color="auto"/>
              <w:right w:val="single" w:sz="4" w:space="0" w:color="auto"/>
            </w:tcBorders>
            <w:shd w:val="clear" w:color="auto" w:fill="auto"/>
          </w:tcPr>
          <w:p w14:paraId="14585284" w14:textId="50AB7D8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tc>
        <w:tc>
          <w:tcPr>
            <w:tcW w:w="538" w:type="pct"/>
            <w:tcBorders>
              <w:top w:val="single" w:sz="4" w:space="0" w:color="auto"/>
              <w:left w:val="nil"/>
              <w:bottom w:val="single" w:sz="4" w:space="0" w:color="auto"/>
              <w:right w:val="single" w:sz="4" w:space="0" w:color="auto"/>
            </w:tcBorders>
            <w:shd w:val="clear" w:color="auto" w:fill="auto"/>
          </w:tcPr>
          <w:p w14:paraId="1B625E02" w14:textId="2417C099"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4B408AC7" w14:textId="77777777" w:rsidTr="00915BBF">
        <w:trPr>
          <w:cantSplit/>
        </w:trPr>
        <w:tc>
          <w:tcPr>
            <w:tcW w:w="1433" w:type="pct"/>
            <w:vMerge/>
            <w:tcBorders>
              <w:left w:val="single" w:sz="4" w:space="0" w:color="auto"/>
              <w:right w:val="single" w:sz="4" w:space="0" w:color="auto"/>
            </w:tcBorders>
            <w:shd w:val="clear" w:color="auto" w:fill="auto"/>
          </w:tcPr>
          <w:p w14:paraId="4CB4A17E"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8A42B5A" w14:textId="701BCD69"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creates a calendar of EAAFP related events including those at Flyway Network Sites (FNSs) as a way of sharing events and encouraging all FPs within countries to run awareness-raising events.</w:t>
            </w:r>
          </w:p>
        </w:tc>
        <w:tc>
          <w:tcPr>
            <w:tcW w:w="690" w:type="pct"/>
            <w:tcBorders>
              <w:top w:val="single" w:sz="4" w:space="0" w:color="auto"/>
              <w:left w:val="nil"/>
              <w:bottom w:val="single" w:sz="4" w:space="0" w:color="auto"/>
              <w:right w:val="single" w:sz="4" w:space="0" w:color="auto"/>
            </w:tcBorders>
            <w:shd w:val="clear" w:color="auto" w:fill="auto"/>
          </w:tcPr>
          <w:p w14:paraId="5D1FE799" w14:textId="7D69992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2C04B27F" w14:textId="57246253"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2B405624"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0670F4F3"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671D130" w14:textId="75A42AA1"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encourages Gov FPs to develop national language pages on the EAAFP website or nominate someone to do so</w:t>
            </w:r>
          </w:p>
        </w:tc>
        <w:tc>
          <w:tcPr>
            <w:tcW w:w="690" w:type="pct"/>
            <w:tcBorders>
              <w:top w:val="single" w:sz="4" w:space="0" w:color="auto"/>
              <w:left w:val="nil"/>
              <w:bottom w:val="single" w:sz="4" w:space="0" w:color="auto"/>
              <w:right w:val="single" w:sz="4" w:space="0" w:color="auto"/>
            </w:tcBorders>
            <w:shd w:val="clear" w:color="auto" w:fill="auto"/>
          </w:tcPr>
          <w:p w14:paraId="47730025" w14:textId="56E03C59"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tc>
        <w:tc>
          <w:tcPr>
            <w:tcW w:w="538" w:type="pct"/>
            <w:tcBorders>
              <w:top w:val="single" w:sz="4" w:space="0" w:color="auto"/>
              <w:left w:val="nil"/>
              <w:bottom w:val="single" w:sz="4" w:space="0" w:color="auto"/>
              <w:right w:val="single" w:sz="4" w:space="0" w:color="auto"/>
            </w:tcBorders>
            <w:shd w:val="clear" w:color="auto" w:fill="auto"/>
          </w:tcPr>
          <w:p w14:paraId="21D95FE3" w14:textId="622978A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7CEA6127"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5E357247"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36DE768" w14:textId="36045B80"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coordinates reporting on partner activities for WMBD &amp; WWD as a branding opportunity.</w:t>
            </w:r>
          </w:p>
        </w:tc>
        <w:tc>
          <w:tcPr>
            <w:tcW w:w="690" w:type="pct"/>
            <w:tcBorders>
              <w:top w:val="single" w:sz="4" w:space="0" w:color="auto"/>
              <w:left w:val="nil"/>
              <w:bottom w:val="single" w:sz="4" w:space="0" w:color="auto"/>
              <w:right w:val="single" w:sz="4" w:space="0" w:color="auto"/>
            </w:tcBorders>
            <w:shd w:val="clear" w:color="auto" w:fill="auto"/>
          </w:tcPr>
          <w:p w14:paraId="6A5363E9" w14:textId="13DB5AC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1C2CC766" w14:textId="5C29202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1DBD9691" w14:textId="77777777" w:rsidTr="00915BBF">
        <w:trPr>
          <w:cantSplit/>
        </w:trPr>
        <w:tc>
          <w:tcPr>
            <w:tcW w:w="1433" w:type="pct"/>
            <w:vMerge/>
            <w:tcBorders>
              <w:left w:val="single" w:sz="4" w:space="0" w:color="auto"/>
              <w:right w:val="single" w:sz="4" w:space="0" w:color="auto"/>
            </w:tcBorders>
            <w:shd w:val="clear" w:color="auto" w:fill="auto"/>
          </w:tcPr>
          <w:p w14:paraId="6DD56FE9"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033395A" w14:textId="58FB1FCF"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encourages Company FPs to promote EAAFP.</w:t>
            </w:r>
          </w:p>
        </w:tc>
        <w:tc>
          <w:tcPr>
            <w:tcW w:w="690" w:type="pct"/>
            <w:tcBorders>
              <w:top w:val="single" w:sz="4" w:space="0" w:color="auto"/>
              <w:left w:val="nil"/>
              <w:bottom w:val="single" w:sz="4" w:space="0" w:color="auto"/>
              <w:right w:val="single" w:sz="4" w:space="0" w:color="auto"/>
            </w:tcBorders>
            <w:shd w:val="clear" w:color="auto" w:fill="auto"/>
          </w:tcPr>
          <w:p w14:paraId="382C0757" w14:textId="64E207C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24</w:t>
            </w:r>
          </w:p>
        </w:tc>
        <w:tc>
          <w:tcPr>
            <w:tcW w:w="538" w:type="pct"/>
            <w:tcBorders>
              <w:top w:val="single" w:sz="4" w:space="0" w:color="auto"/>
              <w:left w:val="nil"/>
              <w:bottom w:val="single" w:sz="4" w:space="0" w:color="auto"/>
              <w:right w:val="single" w:sz="4" w:space="0" w:color="auto"/>
            </w:tcBorders>
            <w:shd w:val="clear" w:color="auto" w:fill="auto"/>
          </w:tcPr>
          <w:p w14:paraId="0C225FB0" w14:textId="140FD0AB" w:rsidR="000D75EE" w:rsidRPr="00915BBF" w:rsidRDefault="000D75EE" w:rsidP="000D75EE">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  2,000</w:t>
            </w:r>
          </w:p>
        </w:tc>
      </w:tr>
      <w:tr w:rsidR="00915BBF" w:rsidRPr="00E51CBD" w14:paraId="572E92F3" w14:textId="77777777" w:rsidTr="00915BBF">
        <w:trPr>
          <w:cantSplit/>
        </w:trPr>
        <w:tc>
          <w:tcPr>
            <w:tcW w:w="1433" w:type="pct"/>
            <w:vMerge/>
            <w:tcBorders>
              <w:left w:val="single" w:sz="4" w:space="0" w:color="auto"/>
              <w:right w:val="single" w:sz="4" w:space="0" w:color="auto"/>
            </w:tcBorders>
            <w:shd w:val="clear" w:color="auto" w:fill="auto"/>
          </w:tcPr>
          <w:p w14:paraId="0D45F1ED"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F5EBBE2" w14:textId="35003FB6"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provides information, materials, and training to FPs to support implementation.</w:t>
            </w:r>
          </w:p>
        </w:tc>
        <w:tc>
          <w:tcPr>
            <w:tcW w:w="690" w:type="pct"/>
            <w:tcBorders>
              <w:top w:val="single" w:sz="4" w:space="0" w:color="auto"/>
              <w:left w:val="nil"/>
              <w:bottom w:val="single" w:sz="4" w:space="0" w:color="auto"/>
              <w:right w:val="single" w:sz="4" w:space="0" w:color="auto"/>
            </w:tcBorders>
            <w:shd w:val="clear" w:color="auto" w:fill="auto"/>
          </w:tcPr>
          <w:p w14:paraId="005A9C15" w14:textId="25B118CC"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2F226FFA" w14:textId="161122AD"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tc>
      </w:tr>
      <w:tr w:rsidR="00915BBF" w:rsidRPr="00E51CBD" w14:paraId="6124D32C" w14:textId="77777777" w:rsidTr="00915BBF">
        <w:trPr>
          <w:cantSplit/>
        </w:trPr>
        <w:tc>
          <w:tcPr>
            <w:tcW w:w="1433" w:type="pct"/>
            <w:vMerge/>
            <w:tcBorders>
              <w:left w:val="single" w:sz="4" w:space="0" w:color="auto"/>
              <w:right w:val="single" w:sz="4" w:space="0" w:color="auto"/>
            </w:tcBorders>
            <w:shd w:val="clear" w:color="auto" w:fill="auto"/>
          </w:tcPr>
          <w:p w14:paraId="30C8674B"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32F7B1F" w14:textId="5DD44083"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and other Partners provide training and materials for site managers (SMs) and visitor </w:t>
            </w:r>
            <w:proofErr w:type="spellStart"/>
            <w:r w:rsidRPr="00915BBF">
              <w:rPr>
                <w:rFonts w:eastAsia="Times New Roman" w:cstheme="minorHAnsi"/>
                <w:color w:val="000000"/>
                <w:sz w:val="19"/>
                <w:szCs w:val="19"/>
                <w:lang w:eastAsia="en-GB"/>
              </w:rPr>
              <w:t>centre</w:t>
            </w:r>
            <w:proofErr w:type="spellEnd"/>
            <w:r w:rsidRPr="00915BBF">
              <w:rPr>
                <w:rFonts w:eastAsia="Times New Roman" w:cstheme="minorHAnsi"/>
                <w:color w:val="000000"/>
                <w:sz w:val="19"/>
                <w:szCs w:val="19"/>
                <w:lang w:eastAsia="en-GB"/>
              </w:rPr>
              <w:t xml:space="preserve"> managers (VCMs).</w:t>
            </w:r>
          </w:p>
        </w:tc>
        <w:tc>
          <w:tcPr>
            <w:tcW w:w="690" w:type="pct"/>
            <w:tcBorders>
              <w:top w:val="single" w:sz="4" w:space="0" w:color="auto"/>
              <w:left w:val="nil"/>
              <w:bottom w:val="single" w:sz="4" w:space="0" w:color="auto"/>
              <w:right w:val="single" w:sz="4" w:space="0" w:color="auto"/>
            </w:tcBorders>
            <w:shd w:val="clear" w:color="auto" w:fill="auto"/>
          </w:tcPr>
          <w:p w14:paraId="1F9303B2" w14:textId="0F74258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w:t>
            </w:r>
          </w:p>
        </w:tc>
        <w:tc>
          <w:tcPr>
            <w:tcW w:w="538" w:type="pct"/>
            <w:tcBorders>
              <w:top w:val="single" w:sz="4" w:space="0" w:color="auto"/>
              <w:left w:val="nil"/>
              <w:bottom w:val="single" w:sz="4" w:space="0" w:color="auto"/>
              <w:right w:val="single" w:sz="4" w:space="0" w:color="auto"/>
            </w:tcBorders>
            <w:shd w:val="clear" w:color="auto" w:fill="auto"/>
          </w:tcPr>
          <w:p w14:paraId="66017650" w14:textId="75D073E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20,000</w:t>
            </w:r>
          </w:p>
        </w:tc>
      </w:tr>
      <w:tr w:rsidR="00915BBF" w:rsidRPr="00E51CBD" w14:paraId="66DF4CEB" w14:textId="77777777" w:rsidTr="00915BBF">
        <w:trPr>
          <w:cantSplit/>
        </w:trPr>
        <w:tc>
          <w:tcPr>
            <w:tcW w:w="1433" w:type="pct"/>
            <w:vMerge/>
            <w:tcBorders>
              <w:left w:val="single" w:sz="4" w:space="0" w:color="auto"/>
              <w:right w:val="single" w:sz="4" w:space="0" w:color="auto"/>
            </w:tcBorders>
            <w:shd w:val="clear" w:color="auto" w:fill="auto"/>
          </w:tcPr>
          <w:p w14:paraId="1A81056C"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62B9AD57" w14:textId="77BC9499"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develops a mailing list for SM/VCM to keep them informed of activities across the network and key relevant EAAFP materials.</w:t>
            </w:r>
          </w:p>
        </w:tc>
        <w:tc>
          <w:tcPr>
            <w:tcW w:w="690" w:type="pct"/>
            <w:tcBorders>
              <w:top w:val="single" w:sz="4" w:space="0" w:color="auto"/>
              <w:left w:val="nil"/>
              <w:bottom w:val="single" w:sz="4" w:space="0" w:color="auto"/>
              <w:right w:val="single" w:sz="4" w:space="0" w:color="auto"/>
            </w:tcBorders>
            <w:shd w:val="clear" w:color="auto" w:fill="auto"/>
          </w:tcPr>
          <w:p w14:paraId="083BC9C9" w14:textId="68235058"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78B8DC10" w14:textId="25E0176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1E94A911" w14:textId="77777777" w:rsidTr="00915BBF">
        <w:trPr>
          <w:cantSplit/>
        </w:trPr>
        <w:tc>
          <w:tcPr>
            <w:tcW w:w="1433" w:type="pct"/>
            <w:vMerge/>
            <w:tcBorders>
              <w:left w:val="single" w:sz="4" w:space="0" w:color="auto"/>
              <w:right w:val="single" w:sz="4" w:space="0" w:color="auto"/>
            </w:tcBorders>
            <w:shd w:val="clear" w:color="auto" w:fill="auto"/>
          </w:tcPr>
          <w:p w14:paraId="5CC61F57"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7AD3D13" w14:textId="189D96D0"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Secretariat/CEPA WG identifies/develops Flyway-wide activity menus.</w:t>
            </w:r>
          </w:p>
        </w:tc>
        <w:tc>
          <w:tcPr>
            <w:tcW w:w="690" w:type="pct"/>
            <w:tcBorders>
              <w:top w:val="single" w:sz="4" w:space="0" w:color="auto"/>
              <w:left w:val="nil"/>
              <w:bottom w:val="single" w:sz="4" w:space="0" w:color="auto"/>
              <w:right w:val="single" w:sz="4" w:space="0" w:color="auto"/>
            </w:tcBorders>
            <w:shd w:val="clear" w:color="auto" w:fill="auto"/>
          </w:tcPr>
          <w:p w14:paraId="0C0CCE08" w14:textId="6FA9F038"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6248D15C" w14:textId="65717B8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39614D3E" w14:textId="77777777" w:rsidTr="00915BBF">
        <w:trPr>
          <w:cantSplit/>
        </w:trPr>
        <w:tc>
          <w:tcPr>
            <w:tcW w:w="1433" w:type="pct"/>
            <w:vMerge/>
            <w:tcBorders>
              <w:left w:val="single" w:sz="4" w:space="0" w:color="auto"/>
              <w:right w:val="single" w:sz="4" w:space="0" w:color="auto"/>
            </w:tcBorders>
            <w:shd w:val="clear" w:color="auto" w:fill="auto"/>
          </w:tcPr>
          <w:p w14:paraId="7FC9B862"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78B38BC6" w14:textId="70AF6C52"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in collaboration with SMs/VCMs and the WLI network, encourages the exchange of wetland </w:t>
            </w:r>
            <w:proofErr w:type="spellStart"/>
            <w:r w:rsidRPr="00915BBF">
              <w:rPr>
                <w:rFonts w:eastAsia="Times New Roman" w:cstheme="minorHAnsi"/>
                <w:color w:val="000000"/>
                <w:sz w:val="19"/>
                <w:szCs w:val="19"/>
                <w:lang w:eastAsia="en-GB"/>
              </w:rPr>
              <w:t>centre</w:t>
            </w:r>
            <w:proofErr w:type="spellEnd"/>
            <w:r w:rsidRPr="00915BBF">
              <w:rPr>
                <w:rFonts w:eastAsia="Times New Roman" w:cstheme="minorHAnsi"/>
                <w:color w:val="000000"/>
                <w:sz w:val="19"/>
                <w:szCs w:val="19"/>
                <w:lang w:eastAsia="en-GB"/>
              </w:rPr>
              <w:t xml:space="preserve"> staff, develop common Flyway messages and materials, etc.</w:t>
            </w:r>
          </w:p>
        </w:tc>
        <w:tc>
          <w:tcPr>
            <w:tcW w:w="690" w:type="pct"/>
            <w:tcBorders>
              <w:top w:val="single" w:sz="4" w:space="0" w:color="auto"/>
              <w:left w:val="nil"/>
              <w:bottom w:val="single" w:sz="4" w:space="0" w:color="auto"/>
              <w:right w:val="single" w:sz="4" w:space="0" w:color="auto"/>
            </w:tcBorders>
            <w:shd w:val="clear" w:color="auto" w:fill="auto"/>
          </w:tcPr>
          <w:p w14:paraId="1B0614A8" w14:textId="0746433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w:t>
            </w:r>
          </w:p>
        </w:tc>
        <w:tc>
          <w:tcPr>
            <w:tcW w:w="538" w:type="pct"/>
            <w:tcBorders>
              <w:top w:val="single" w:sz="4" w:space="0" w:color="auto"/>
              <w:left w:val="nil"/>
              <w:bottom w:val="single" w:sz="4" w:space="0" w:color="auto"/>
              <w:right w:val="single" w:sz="4" w:space="0" w:color="auto"/>
            </w:tcBorders>
            <w:shd w:val="clear" w:color="auto" w:fill="auto"/>
          </w:tcPr>
          <w:p w14:paraId="53532FE5" w14:textId="2D8C488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20,000</w:t>
            </w:r>
          </w:p>
        </w:tc>
      </w:tr>
      <w:tr w:rsidR="00915BBF" w:rsidRPr="00E51CBD" w14:paraId="0077506C" w14:textId="77777777" w:rsidTr="00915BBF">
        <w:trPr>
          <w:cantSplit/>
        </w:trPr>
        <w:tc>
          <w:tcPr>
            <w:tcW w:w="1433" w:type="pct"/>
            <w:vMerge/>
            <w:tcBorders>
              <w:left w:val="single" w:sz="4" w:space="0" w:color="auto"/>
              <w:right w:val="single" w:sz="4" w:space="0" w:color="auto"/>
            </w:tcBorders>
            <w:shd w:val="clear" w:color="auto" w:fill="auto"/>
          </w:tcPr>
          <w:p w14:paraId="64DD1053"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0FC820F7" w14:textId="14DB7FED"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in collaboration with the WLI network, encourages FNS and Wetland </w:t>
            </w:r>
            <w:proofErr w:type="spellStart"/>
            <w:r w:rsidRPr="00915BBF">
              <w:rPr>
                <w:rFonts w:eastAsia="Times New Roman" w:cstheme="minorHAnsi"/>
                <w:color w:val="000000"/>
                <w:sz w:val="19"/>
                <w:szCs w:val="19"/>
                <w:lang w:eastAsia="en-GB"/>
              </w:rPr>
              <w:t>Centres</w:t>
            </w:r>
            <w:proofErr w:type="spellEnd"/>
            <w:r w:rsidRPr="00915BBF">
              <w:rPr>
                <w:rFonts w:eastAsia="Times New Roman" w:cstheme="minorHAnsi"/>
                <w:color w:val="000000"/>
                <w:sz w:val="19"/>
                <w:szCs w:val="19"/>
                <w:lang w:eastAsia="en-GB"/>
              </w:rPr>
              <w:t xml:space="preserve"> to promote site twinning.</w:t>
            </w:r>
          </w:p>
        </w:tc>
        <w:tc>
          <w:tcPr>
            <w:tcW w:w="690" w:type="pct"/>
            <w:tcBorders>
              <w:top w:val="single" w:sz="4" w:space="0" w:color="auto"/>
              <w:left w:val="nil"/>
              <w:bottom w:val="single" w:sz="4" w:space="0" w:color="auto"/>
              <w:right w:val="single" w:sz="4" w:space="0" w:color="auto"/>
            </w:tcBorders>
            <w:shd w:val="clear" w:color="auto" w:fill="auto"/>
          </w:tcPr>
          <w:p w14:paraId="0BA54AEC" w14:textId="44F6D73B"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w:t>
            </w:r>
          </w:p>
        </w:tc>
        <w:tc>
          <w:tcPr>
            <w:tcW w:w="538" w:type="pct"/>
            <w:tcBorders>
              <w:top w:val="single" w:sz="4" w:space="0" w:color="auto"/>
              <w:left w:val="nil"/>
              <w:bottom w:val="single" w:sz="4" w:space="0" w:color="auto"/>
              <w:right w:val="single" w:sz="4" w:space="0" w:color="auto"/>
            </w:tcBorders>
            <w:shd w:val="clear" w:color="auto" w:fill="auto"/>
          </w:tcPr>
          <w:p w14:paraId="5F37F322" w14:textId="4CABD94F"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20,000</w:t>
            </w:r>
          </w:p>
        </w:tc>
      </w:tr>
      <w:tr w:rsidR="00915BBF" w:rsidRPr="00E51CBD" w14:paraId="496E58BF" w14:textId="77777777" w:rsidTr="00915BBF">
        <w:trPr>
          <w:cantSplit/>
        </w:trPr>
        <w:tc>
          <w:tcPr>
            <w:tcW w:w="1433" w:type="pct"/>
            <w:vMerge/>
            <w:tcBorders>
              <w:left w:val="single" w:sz="4" w:space="0" w:color="auto"/>
              <w:right w:val="single" w:sz="4" w:space="0" w:color="auto"/>
            </w:tcBorders>
            <w:shd w:val="clear" w:color="auto" w:fill="auto"/>
          </w:tcPr>
          <w:p w14:paraId="2887C450"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7B82ECED" w14:textId="2DCE37DB"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promotes the e-Newsletter to a broader audience.</w:t>
            </w:r>
          </w:p>
        </w:tc>
        <w:tc>
          <w:tcPr>
            <w:tcW w:w="690" w:type="pct"/>
            <w:tcBorders>
              <w:top w:val="single" w:sz="4" w:space="0" w:color="auto"/>
              <w:left w:val="nil"/>
              <w:bottom w:val="single" w:sz="4" w:space="0" w:color="auto"/>
              <w:right w:val="single" w:sz="4" w:space="0" w:color="auto"/>
            </w:tcBorders>
            <w:shd w:val="clear" w:color="auto" w:fill="auto"/>
          </w:tcPr>
          <w:p w14:paraId="68C84551" w14:textId="2BBCC722"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36</w:t>
            </w:r>
          </w:p>
        </w:tc>
        <w:tc>
          <w:tcPr>
            <w:tcW w:w="538" w:type="pct"/>
            <w:tcBorders>
              <w:top w:val="single" w:sz="4" w:space="0" w:color="auto"/>
              <w:left w:val="nil"/>
              <w:bottom w:val="single" w:sz="4" w:space="0" w:color="auto"/>
              <w:right w:val="single" w:sz="4" w:space="0" w:color="auto"/>
            </w:tcBorders>
            <w:shd w:val="clear" w:color="auto" w:fill="auto"/>
          </w:tcPr>
          <w:p w14:paraId="66183321" w14:textId="04301C3A"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1,000</w:t>
            </w:r>
          </w:p>
        </w:tc>
      </w:tr>
      <w:tr w:rsidR="00915BBF" w:rsidRPr="00E51CBD" w14:paraId="54F8F8E1" w14:textId="77777777" w:rsidTr="00915BBF">
        <w:trPr>
          <w:cantSplit/>
        </w:trPr>
        <w:tc>
          <w:tcPr>
            <w:tcW w:w="1433" w:type="pct"/>
            <w:vMerge/>
            <w:tcBorders>
              <w:left w:val="single" w:sz="4" w:space="0" w:color="auto"/>
              <w:right w:val="single" w:sz="4" w:space="0" w:color="auto"/>
            </w:tcBorders>
            <w:shd w:val="clear" w:color="auto" w:fill="auto"/>
          </w:tcPr>
          <w:p w14:paraId="294F7679"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6880C6B0" w14:textId="5B419803"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&amp; CEPA WG provide a template and ask the chairs for regular updates.  Each WG/TF creates a profile for their key species.</w:t>
            </w:r>
          </w:p>
        </w:tc>
        <w:tc>
          <w:tcPr>
            <w:tcW w:w="690" w:type="pct"/>
            <w:tcBorders>
              <w:top w:val="single" w:sz="4" w:space="0" w:color="auto"/>
              <w:left w:val="nil"/>
              <w:bottom w:val="single" w:sz="4" w:space="0" w:color="auto"/>
              <w:right w:val="single" w:sz="4" w:space="0" w:color="auto"/>
            </w:tcBorders>
            <w:shd w:val="clear" w:color="auto" w:fill="auto"/>
          </w:tcPr>
          <w:p w14:paraId="2F5339C3" w14:textId="506AC574"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26DBAFEE" w14:textId="2B25DC5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74844109" w14:textId="77777777" w:rsidTr="00915BBF">
        <w:trPr>
          <w:cantSplit/>
        </w:trPr>
        <w:tc>
          <w:tcPr>
            <w:tcW w:w="1433" w:type="pct"/>
            <w:vMerge/>
            <w:tcBorders>
              <w:left w:val="single" w:sz="4" w:space="0" w:color="auto"/>
              <w:right w:val="single" w:sz="4" w:space="0" w:color="auto"/>
            </w:tcBorders>
            <w:shd w:val="clear" w:color="auto" w:fill="auto"/>
          </w:tcPr>
          <w:p w14:paraId="6E70AB26"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7362C1B8" w14:textId="7E71818E"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Gov FPs /CEPA WG identify media (including social media) groups and opportunities and provide relevant materials and support as necessary. </w:t>
            </w:r>
          </w:p>
        </w:tc>
        <w:tc>
          <w:tcPr>
            <w:tcW w:w="690" w:type="pct"/>
            <w:tcBorders>
              <w:top w:val="single" w:sz="4" w:space="0" w:color="auto"/>
              <w:left w:val="nil"/>
              <w:bottom w:val="single" w:sz="4" w:space="0" w:color="auto"/>
              <w:right w:val="single" w:sz="4" w:space="0" w:color="auto"/>
            </w:tcBorders>
            <w:shd w:val="clear" w:color="auto" w:fill="auto"/>
          </w:tcPr>
          <w:p w14:paraId="2EAEA5DB" w14:textId="437F9889"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7D1D9FB1" w14:textId="110B8E13"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33E73405" w14:textId="77777777" w:rsidTr="00915BBF">
        <w:trPr>
          <w:cantSplit/>
        </w:trPr>
        <w:tc>
          <w:tcPr>
            <w:tcW w:w="1433" w:type="pct"/>
            <w:vMerge/>
            <w:tcBorders>
              <w:left w:val="single" w:sz="4" w:space="0" w:color="auto"/>
              <w:right w:val="single" w:sz="4" w:space="0" w:color="auto"/>
            </w:tcBorders>
            <w:shd w:val="clear" w:color="auto" w:fill="auto"/>
          </w:tcPr>
          <w:p w14:paraId="10BFDA4D"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2B268255" w14:textId="638415F3"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CEPA WG ask Partners and other organizations to identify media outlets and opportunities and advise on how the EAAFP can work with them.</w:t>
            </w:r>
          </w:p>
        </w:tc>
        <w:tc>
          <w:tcPr>
            <w:tcW w:w="690" w:type="pct"/>
            <w:tcBorders>
              <w:top w:val="single" w:sz="4" w:space="0" w:color="auto"/>
              <w:left w:val="nil"/>
              <w:bottom w:val="single" w:sz="4" w:space="0" w:color="auto"/>
              <w:right w:val="single" w:sz="4" w:space="0" w:color="auto"/>
            </w:tcBorders>
            <w:shd w:val="clear" w:color="auto" w:fill="auto"/>
          </w:tcPr>
          <w:p w14:paraId="7F62BFDB" w14:textId="3674006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0A67319E" w14:textId="1B3F47CE"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6F135BB5"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47C37171"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2FE3DCC9" w14:textId="5D4B04BC"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and SMs/VCMs work together to develop a scheme for voluntary translation</w:t>
            </w:r>
          </w:p>
        </w:tc>
        <w:tc>
          <w:tcPr>
            <w:tcW w:w="690" w:type="pct"/>
            <w:tcBorders>
              <w:top w:val="single" w:sz="4" w:space="0" w:color="auto"/>
              <w:left w:val="nil"/>
              <w:bottom w:val="single" w:sz="4" w:space="0" w:color="auto"/>
              <w:right w:val="single" w:sz="4" w:space="0" w:color="auto"/>
            </w:tcBorders>
            <w:shd w:val="clear" w:color="auto" w:fill="auto"/>
          </w:tcPr>
          <w:p w14:paraId="5399D19A" w14:textId="0A8C8B6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4F0ADED4" w14:textId="4CCBC12F"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5CDD9471"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7A32FA59" w14:textId="67D8D5A5"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DD.03 Organization Structure of the EAAFP</w:t>
            </w:r>
          </w:p>
        </w:tc>
        <w:tc>
          <w:tcPr>
            <w:tcW w:w="2339" w:type="pct"/>
            <w:tcBorders>
              <w:top w:val="single" w:sz="4" w:space="0" w:color="auto"/>
              <w:left w:val="nil"/>
              <w:bottom w:val="single" w:sz="4" w:space="0" w:color="auto"/>
              <w:right w:val="single" w:sz="4" w:space="0" w:color="auto"/>
            </w:tcBorders>
            <w:shd w:val="clear" w:color="auto" w:fill="auto"/>
          </w:tcPr>
          <w:p w14:paraId="10BB22FE" w14:textId="2DBD2CB8"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763A2B15" w14:textId="65D80692"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3093C967" w14:textId="2B80FD56"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3042C7CB"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B949821" w14:textId="5192A8FD"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DD.04 Update on the Appointment and Work of the Interim Technical </w:t>
            </w:r>
            <w:r w:rsidR="00124B56">
              <w:rPr>
                <w:rFonts w:eastAsia="Times New Roman" w:cstheme="minorHAnsi"/>
                <w:color w:val="000000"/>
                <w:sz w:val="19"/>
                <w:szCs w:val="19"/>
                <w:lang w:eastAsia="en-GB"/>
              </w:rPr>
              <w:t>Sub-</w:t>
            </w:r>
            <w:r w:rsidRPr="00915BBF">
              <w:rPr>
                <w:rFonts w:eastAsia="Times New Roman" w:cstheme="minorHAnsi"/>
                <w:color w:val="000000"/>
                <w:sz w:val="19"/>
                <w:szCs w:val="19"/>
                <w:lang w:eastAsia="en-GB"/>
              </w:rPr>
              <w:t>Committee</w:t>
            </w:r>
          </w:p>
        </w:tc>
        <w:tc>
          <w:tcPr>
            <w:tcW w:w="2339" w:type="pct"/>
            <w:tcBorders>
              <w:top w:val="single" w:sz="4" w:space="0" w:color="auto"/>
              <w:left w:val="nil"/>
              <w:bottom w:val="single" w:sz="4" w:space="0" w:color="auto"/>
              <w:right w:val="single" w:sz="4" w:space="0" w:color="auto"/>
            </w:tcBorders>
            <w:shd w:val="clear" w:color="auto" w:fill="auto"/>
          </w:tcPr>
          <w:p w14:paraId="4E9D051A" w14:textId="6012B10C"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78D98B7C" w14:textId="7C4DF3A2"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4CC91A78" w14:textId="55888BE1"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8145BBE"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0CF77577" w14:textId="1D0BB245"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DD.05 Establishment of the Science Unit for EAAFP Secretariat</w:t>
            </w:r>
          </w:p>
        </w:tc>
        <w:tc>
          <w:tcPr>
            <w:tcW w:w="2339" w:type="pct"/>
            <w:tcBorders>
              <w:top w:val="single" w:sz="4" w:space="0" w:color="auto"/>
              <w:left w:val="nil"/>
              <w:bottom w:val="single" w:sz="4" w:space="0" w:color="auto"/>
              <w:right w:val="single" w:sz="4" w:space="0" w:color="auto"/>
            </w:tcBorders>
            <w:shd w:val="clear" w:color="auto" w:fill="auto"/>
          </w:tcPr>
          <w:p w14:paraId="0C620AFC" w14:textId="22018AFF"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support regular communication, such as through tele-conferences, meetings, and regular exchange visit with the Science Unit</w:t>
            </w:r>
          </w:p>
        </w:tc>
        <w:tc>
          <w:tcPr>
            <w:tcW w:w="690" w:type="pct"/>
            <w:tcBorders>
              <w:top w:val="single" w:sz="4" w:space="0" w:color="auto"/>
              <w:left w:val="nil"/>
              <w:bottom w:val="single" w:sz="4" w:space="0" w:color="auto"/>
              <w:right w:val="single" w:sz="4" w:space="0" w:color="auto"/>
            </w:tcBorders>
            <w:shd w:val="clear" w:color="auto" w:fill="auto"/>
          </w:tcPr>
          <w:p w14:paraId="284C143B" w14:textId="0AFE0944" w:rsidR="00BC1200"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9B0D522" w14:textId="665592A8"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7ACE531"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D205688" w14:textId="42C5523E"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DD.06 Revised Guidelines for Sponsorship of Participants at EAAFP Meetings of Partners</w:t>
            </w:r>
          </w:p>
        </w:tc>
        <w:tc>
          <w:tcPr>
            <w:tcW w:w="2339" w:type="pct"/>
            <w:tcBorders>
              <w:top w:val="single" w:sz="4" w:space="0" w:color="auto"/>
              <w:left w:val="nil"/>
              <w:bottom w:val="single" w:sz="4" w:space="0" w:color="auto"/>
              <w:right w:val="single" w:sz="4" w:space="0" w:color="auto"/>
            </w:tcBorders>
            <w:shd w:val="clear" w:color="auto" w:fill="auto"/>
          </w:tcPr>
          <w:p w14:paraId="1CA47A12" w14:textId="67535277"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CEBD622" w14:textId="6820326C"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2E82CF23" w14:textId="363B55B1"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01992B90"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2EE15873" w14:textId="1CB2DDC0" w:rsidR="000D75EE" w:rsidRPr="00915BBF" w:rsidRDefault="000D75EE"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DD.07 Standardized Process and Template for Small Grant Fund Applications </w:t>
            </w:r>
          </w:p>
        </w:tc>
        <w:tc>
          <w:tcPr>
            <w:tcW w:w="2339" w:type="pct"/>
            <w:tcBorders>
              <w:top w:val="single" w:sz="4" w:space="0" w:color="auto"/>
              <w:left w:val="nil"/>
              <w:bottom w:val="single" w:sz="4" w:space="0" w:color="auto"/>
              <w:right w:val="single" w:sz="4" w:space="0" w:color="auto"/>
            </w:tcBorders>
            <w:shd w:val="clear" w:color="auto" w:fill="auto"/>
          </w:tcPr>
          <w:p w14:paraId="160B10D7" w14:textId="66E10FAD" w:rsidR="000D75EE" w:rsidRPr="00915BBF" w:rsidRDefault="000D75EE" w:rsidP="00BC1200">
            <w:pPr>
              <w:pStyle w:val="Default"/>
              <w:rPr>
                <w:rFonts w:asciiTheme="minorHAnsi" w:eastAsia="Times New Roman" w:hAnsiTheme="minorHAnsi" w:cstheme="minorHAnsi"/>
                <w:sz w:val="19"/>
                <w:szCs w:val="19"/>
                <w:lang w:eastAsia="en-GB"/>
              </w:rPr>
            </w:pPr>
            <w:r w:rsidRPr="00915BBF">
              <w:rPr>
                <w:rFonts w:asciiTheme="minorHAnsi" w:eastAsia="Times New Roman" w:hAnsiTheme="minorHAnsi" w:cstheme="minorHAnsi"/>
                <w:sz w:val="19"/>
                <w:szCs w:val="19"/>
                <w:lang w:eastAsia="en-GB"/>
              </w:rPr>
              <w:t xml:space="preserve">Secretariat to follow the agreed process and to communicate successful projects within two (2) months from the close of nominations. </w:t>
            </w:r>
          </w:p>
        </w:tc>
        <w:tc>
          <w:tcPr>
            <w:tcW w:w="690" w:type="pct"/>
            <w:tcBorders>
              <w:top w:val="single" w:sz="4" w:space="0" w:color="auto"/>
              <w:left w:val="nil"/>
              <w:bottom w:val="single" w:sz="4" w:space="0" w:color="auto"/>
              <w:right w:val="single" w:sz="4" w:space="0" w:color="auto"/>
            </w:tcBorders>
            <w:shd w:val="clear" w:color="auto" w:fill="auto"/>
          </w:tcPr>
          <w:p w14:paraId="7A4DC8B1" w14:textId="7777777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p w14:paraId="4191D282" w14:textId="78C1FA7A" w:rsidR="000D75EE" w:rsidRPr="00915BBF" w:rsidRDefault="000D75EE" w:rsidP="000D75EE">
            <w:pPr>
              <w:spacing w:after="0" w:line="240" w:lineRule="auto"/>
              <w:ind w:right="300"/>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auto"/>
          </w:tcPr>
          <w:p w14:paraId="16410227" w14:textId="7777777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p w14:paraId="1245AD3B" w14:textId="44B32191" w:rsidR="000D75EE" w:rsidRPr="00915BBF" w:rsidRDefault="000D75EE" w:rsidP="00BC1200">
            <w:pPr>
              <w:spacing w:after="0" w:line="240" w:lineRule="auto"/>
              <w:jc w:val="right"/>
              <w:rPr>
                <w:rFonts w:eastAsia="Times New Roman" w:cstheme="minorHAnsi"/>
                <w:color w:val="000000"/>
                <w:sz w:val="19"/>
                <w:szCs w:val="19"/>
                <w:lang w:eastAsia="en-GB"/>
              </w:rPr>
            </w:pPr>
          </w:p>
        </w:tc>
      </w:tr>
      <w:tr w:rsidR="00915BBF" w:rsidRPr="00E51CBD" w14:paraId="0A53439F" w14:textId="77777777" w:rsidTr="00915BBF">
        <w:trPr>
          <w:cantSplit/>
          <w:trHeight w:val="50"/>
        </w:trPr>
        <w:tc>
          <w:tcPr>
            <w:tcW w:w="1433" w:type="pct"/>
            <w:vMerge/>
            <w:tcBorders>
              <w:left w:val="single" w:sz="4" w:space="0" w:color="auto"/>
              <w:right w:val="single" w:sz="4" w:space="0" w:color="auto"/>
            </w:tcBorders>
            <w:shd w:val="clear" w:color="auto" w:fill="auto"/>
          </w:tcPr>
          <w:p w14:paraId="44481D34"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D9534DA" w14:textId="56F7F936" w:rsidR="000D75EE" w:rsidRPr="00915BBF" w:rsidRDefault="000D75EE" w:rsidP="00BC1200">
            <w:pPr>
              <w:pStyle w:val="Default"/>
              <w:rPr>
                <w:rFonts w:asciiTheme="minorHAnsi" w:eastAsia="Times New Roman" w:hAnsiTheme="minorHAnsi" w:cstheme="minorHAnsi"/>
                <w:sz w:val="19"/>
                <w:szCs w:val="19"/>
                <w:lang w:eastAsia="en-GB"/>
              </w:rPr>
            </w:pPr>
            <w:r w:rsidRPr="00915BBF">
              <w:rPr>
                <w:rFonts w:asciiTheme="minorHAnsi" w:eastAsia="Times New Roman" w:hAnsiTheme="minorHAnsi" w:cstheme="minorHAnsi"/>
                <w:sz w:val="19"/>
                <w:szCs w:val="19"/>
                <w:lang w:eastAsia="en-GB"/>
              </w:rPr>
              <w:t>Secretariat, subject to available resources, to make an annual financial allocation to the Small Grant Fund;</w:t>
            </w:r>
          </w:p>
        </w:tc>
        <w:tc>
          <w:tcPr>
            <w:tcW w:w="690" w:type="pct"/>
            <w:tcBorders>
              <w:top w:val="single" w:sz="4" w:space="0" w:color="auto"/>
              <w:left w:val="nil"/>
              <w:bottom w:val="single" w:sz="4" w:space="0" w:color="auto"/>
              <w:right w:val="single" w:sz="4" w:space="0" w:color="auto"/>
            </w:tcBorders>
            <w:shd w:val="clear" w:color="auto" w:fill="auto"/>
          </w:tcPr>
          <w:p w14:paraId="001951F6" w14:textId="02208016"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6669F7C6" w14:textId="457337C9" w:rsidR="000D75EE" w:rsidRPr="00915BBF" w:rsidRDefault="000D75EE" w:rsidP="000D75EE">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Allocation in core-budget</w:t>
            </w:r>
          </w:p>
        </w:tc>
      </w:tr>
      <w:tr w:rsidR="00915BBF" w:rsidRPr="00E51CBD" w14:paraId="051CA637"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106CA2FD"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2B58254" w14:textId="5AB58FDB" w:rsidR="000D75EE" w:rsidRPr="00915BBF" w:rsidRDefault="000D75EE" w:rsidP="00BC1200">
            <w:pPr>
              <w:pStyle w:val="Default"/>
              <w:rPr>
                <w:rFonts w:asciiTheme="minorHAnsi" w:eastAsia="Times New Roman" w:hAnsiTheme="minorHAnsi" w:cstheme="minorHAnsi"/>
                <w:sz w:val="19"/>
                <w:szCs w:val="19"/>
                <w:lang w:eastAsia="en-GB"/>
              </w:rPr>
            </w:pPr>
            <w:r w:rsidRPr="00915BBF">
              <w:rPr>
                <w:rFonts w:asciiTheme="minorHAnsi" w:eastAsia="Times New Roman" w:hAnsiTheme="minorHAnsi" w:cstheme="minorHAnsi"/>
                <w:sz w:val="19"/>
                <w:szCs w:val="19"/>
                <w:lang w:eastAsia="en-GB"/>
              </w:rPr>
              <w:t xml:space="preserve">Secretariat to report on implementation of this Decision at each </w:t>
            </w:r>
            <w:proofErr w:type="spellStart"/>
            <w:r w:rsidR="00124B56">
              <w:rPr>
                <w:rFonts w:asciiTheme="minorHAnsi" w:eastAsia="Times New Roman" w:hAnsiTheme="minorHAnsi" w:cstheme="minorHAnsi"/>
                <w:sz w:val="19"/>
                <w:szCs w:val="19"/>
                <w:lang w:eastAsia="en-GB"/>
              </w:rPr>
              <w:t>MoP</w:t>
            </w:r>
            <w:proofErr w:type="spellEnd"/>
            <w:r w:rsidRPr="00915BBF">
              <w:rPr>
                <w:rFonts w:asciiTheme="minorHAnsi" w:eastAsia="Times New Roman" w:hAnsiTheme="minorHAnsi" w:cstheme="minorHAnsi"/>
                <w:sz w:val="19"/>
                <w:szCs w:val="19"/>
                <w:lang w:eastAsia="en-GB"/>
              </w:rPr>
              <w:t>.</w:t>
            </w:r>
          </w:p>
        </w:tc>
        <w:tc>
          <w:tcPr>
            <w:tcW w:w="690" w:type="pct"/>
            <w:tcBorders>
              <w:top w:val="single" w:sz="4" w:space="0" w:color="auto"/>
              <w:left w:val="nil"/>
              <w:bottom w:val="single" w:sz="4" w:space="0" w:color="auto"/>
              <w:right w:val="single" w:sz="4" w:space="0" w:color="auto"/>
            </w:tcBorders>
            <w:shd w:val="clear" w:color="auto" w:fill="auto"/>
          </w:tcPr>
          <w:p w14:paraId="78558FC1" w14:textId="55E0469E"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0578C4A5" w14:textId="1801EFD8"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6CB77705"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6C28D541" w14:textId="53B2841B" w:rsidR="001D331B" w:rsidRPr="00915BBF" w:rsidRDefault="001D331B"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DD.08 Developing Guidelines for National and Site Partnerships</w:t>
            </w:r>
          </w:p>
        </w:tc>
        <w:tc>
          <w:tcPr>
            <w:tcW w:w="2339" w:type="pct"/>
            <w:tcBorders>
              <w:top w:val="single" w:sz="4" w:space="0" w:color="auto"/>
              <w:left w:val="nil"/>
              <w:bottom w:val="single" w:sz="4" w:space="0" w:color="auto"/>
              <w:right w:val="single" w:sz="4" w:space="0" w:color="auto"/>
            </w:tcBorders>
            <w:shd w:val="clear" w:color="auto" w:fill="auto"/>
          </w:tcPr>
          <w:p w14:paraId="758A0351" w14:textId="3840A931" w:rsidR="001D331B" w:rsidRPr="00915BBF" w:rsidRDefault="001D331B"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to develop guidance material on National and site partnerships and present their recommendations at </w:t>
            </w:r>
            <w:r w:rsidR="00124B56">
              <w:rPr>
                <w:rFonts w:eastAsia="Times New Roman" w:cstheme="minorHAnsi"/>
                <w:color w:val="000000"/>
                <w:sz w:val="19"/>
                <w:szCs w:val="19"/>
                <w:lang w:eastAsia="en-GB"/>
              </w:rPr>
              <w:t>MoP</w:t>
            </w:r>
            <w:r w:rsidRPr="00915BBF">
              <w:rPr>
                <w:rFonts w:eastAsia="Times New Roman" w:cstheme="minorHAnsi"/>
                <w:color w:val="000000"/>
                <w:sz w:val="19"/>
                <w:szCs w:val="19"/>
                <w:lang w:eastAsia="en-GB"/>
              </w:rPr>
              <w:t>11.</w:t>
            </w:r>
          </w:p>
        </w:tc>
        <w:tc>
          <w:tcPr>
            <w:tcW w:w="690" w:type="pct"/>
            <w:tcBorders>
              <w:top w:val="single" w:sz="4" w:space="0" w:color="auto"/>
              <w:left w:val="nil"/>
              <w:bottom w:val="single" w:sz="4" w:space="0" w:color="auto"/>
              <w:right w:val="single" w:sz="4" w:space="0" w:color="auto"/>
            </w:tcBorders>
            <w:shd w:val="clear" w:color="auto" w:fill="auto"/>
          </w:tcPr>
          <w:p w14:paraId="4AAE2499" w14:textId="2C1B1010" w:rsidR="001D331B" w:rsidRPr="00915BBF" w:rsidRDefault="001D331B" w:rsidP="001D331B">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7D23E139" w14:textId="77777777" w:rsidR="001D331B" w:rsidRPr="00915BBF" w:rsidRDefault="001D331B"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p w14:paraId="15BEEA42" w14:textId="2543F7E7" w:rsidR="001D331B" w:rsidRPr="00915BBF" w:rsidRDefault="001D331B" w:rsidP="00BC1200">
            <w:pPr>
              <w:spacing w:after="0" w:line="240" w:lineRule="auto"/>
              <w:jc w:val="right"/>
              <w:rPr>
                <w:rFonts w:eastAsia="Times New Roman" w:cstheme="minorHAnsi"/>
                <w:color w:val="000000"/>
                <w:sz w:val="19"/>
                <w:szCs w:val="19"/>
                <w:lang w:eastAsia="en-GB"/>
              </w:rPr>
            </w:pPr>
          </w:p>
        </w:tc>
      </w:tr>
      <w:tr w:rsidR="00915BBF" w:rsidRPr="00E51CBD" w14:paraId="76B0E624"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1B5515BF" w14:textId="77777777" w:rsidR="001D331B" w:rsidRPr="00915BBF" w:rsidRDefault="001D331B"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2A2FFF67" w14:textId="028B0DEE" w:rsidR="001D331B" w:rsidRPr="00915BBF" w:rsidRDefault="001D331B"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subject to available resources, to support the establishment and operation of National and site partnerships by, among other things, hosting workshops and capacity building training sessions.</w:t>
            </w:r>
          </w:p>
        </w:tc>
        <w:tc>
          <w:tcPr>
            <w:tcW w:w="690" w:type="pct"/>
            <w:tcBorders>
              <w:top w:val="single" w:sz="4" w:space="0" w:color="auto"/>
              <w:left w:val="nil"/>
              <w:bottom w:val="single" w:sz="4" w:space="0" w:color="auto"/>
              <w:right w:val="single" w:sz="4" w:space="0" w:color="auto"/>
            </w:tcBorders>
            <w:shd w:val="clear" w:color="auto" w:fill="auto"/>
          </w:tcPr>
          <w:p w14:paraId="0E65E30B" w14:textId="036B1178" w:rsidR="001D331B" w:rsidRPr="00915BBF" w:rsidRDefault="001D331B"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75C3E18D" w14:textId="22EFD78D" w:rsidR="001D331B" w:rsidRPr="00915BBF" w:rsidRDefault="001D331B"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16,000</w:t>
            </w:r>
          </w:p>
        </w:tc>
      </w:tr>
      <w:tr w:rsidR="00915BBF" w:rsidRPr="00E51CBD" w14:paraId="78824B91"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65DD4E0D" w14:textId="256507D8"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DD.09 Developing an EAAFP Sister Site Program</w:t>
            </w:r>
          </w:p>
        </w:tc>
        <w:tc>
          <w:tcPr>
            <w:tcW w:w="2339" w:type="pct"/>
            <w:tcBorders>
              <w:top w:val="single" w:sz="4" w:space="0" w:color="auto"/>
              <w:left w:val="nil"/>
              <w:bottom w:val="single" w:sz="4" w:space="0" w:color="auto"/>
              <w:right w:val="single" w:sz="4" w:space="0" w:color="auto"/>
            </w:tcBorders>
            <w:shd w:val="clear" w:color="auto" w:fill="auto"/>
          </w:tcPr>
          <w:p w14:paraId="7608445A" w14:textId="6C0F1F7F" w:rsidR="00AF0886" w:rsidRPr="00915BBF" w:rsidRDefault="00AF0886" w:rsidP="00305D9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to review the existing EAAFP Sister Site Program and report on outcomes at </w:t>
            </w:r>
            <w:r w:rsidR="00124B56">
              <w:rPr>
                <w:rFonts w:eastAsia="Times New Roman" w:cstheme="minorHAnsi"/>
                <w:color w:val="000000"/>
                <w:sz w:val="19"/>
                <w:szCs w:val="19"/>
                <w:lang w:eastAsia="en-GB"/>
              </w:rPr>
              <w:t>MoP</w:t>
            </w:r>
            <w:r w:rsidRPr="00915BBF">
              <w:rPr>
                <w:rFonts w:eastAsia="Times New Roman" w:cstheme="minorHAnsi"/>
                <w:color w:val="000000"/>
                <w:sz w:val="19"/>
                <w:szCs w:val="19"/>
                <w:lang w:eastAsia="en-GB"/>
              </w:rPr>
              <w:t>11.</w:t>
            </w:r>
          </w:p>
        </w:tc>
        <w:tc>
          <w:tcPr>
            <w:tcW w:w="690" w:type="pct"/>
            <w:tcBorders>
              <w:top w:val="single" w:sz="4" w:space="0" w:color="auto"/>
              <w:left w:val="nil"/>
              <w:bottom w:val="single" w:sz="4" w:space="0" w:color="auto"/>
              <w:right w:val="single" w:sz="4" w:space="0" w:color="auto"/>
            </w:tcBorders>
            <w:shd w:val="clear" w:color="auto" w:fill="auto"/>
          </w:tcPr>
          <w:p w14:paraId="558850AD" w14:textId="77777777"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p w14:paraId="363325A9" w14:textId="250D5DBD" w:rsidR="00AF0886" w:rsidRPr="00915BBF" w:rsidRDefault="00AF0886" w:rsidP="00305D96">
            <w:pPr>
              <w:spacing w:after="0" w:line="240" w:lineRule="auto"/>
              <w:ind w:right="300"/>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auto"/>
          </w:tcPr>
          <w:p w14:paraId="2DAB7ED5" w14:textId="5B30261B"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p w14:paraId="63388CB3" w14:textId="53E598B6" w:rsidR="00AF0886" w:rsidRPr="00915BBF" w:rsidRDefault="00AF0886" w:rsidP="00305D96">
            <w:pPr>
              <w:spacing w:after="0" w:line="240" w:lineRule="auto"/>
              <w:ind w:right="200"/>
              <w:jc w:val="right"/>
              <w:rPr>
                <w:rFonts w:eastAsia="Times New Roman" w:cstheme="minorHAnsi"/>
                <w:color w:val="000000"/>
                <w:sz w:val="19"/>
                <w:szCs w:val="19"/>
                <w:lang w:eastAsia="en-GB"/>
              </w:rPr>
            </w:pPr>
          </w:p>
        </w:tc>
      </w:tr>
      <w:tr w:rsidR="00915BBF" w:rsidRPr="00E51CBD" w14:paraId="5E07D39C" w14:textId="77777777" w:rsidTr="00915BBF">
        <w:trPr>
          <w:cantSplit/>
        </w:trPr>
        <w:tc>
          <w:tcPr>
            <w:tcW w:w="1433" w:type="pct"/>
            <w:vMerge/>
            <w:tcBorders>
              <w:left w:val="single" w:sz="4" w:space="0" w:color="auto"/>
              <w:right w:val="single" w:sz="4" w:space="0" w:color="auto"/>
            </w:tcBorders>
            <w:shd w:val="clear" w:color="auto" w:fill="auto"/>
          </w:tcPr>
          <w:p w14:paraId="6E72A149"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EA264A8" w14:textId="57E60ED7"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to develop guidelines on the EAAFP Sister Site Program and seek their adoption at </w:t>
            </w:r>
            <w:r w:rsidR="00124B56">
              <w:rPr>
                <w:rFonts w:eastAsia="Times New Roman" w:cstheme="minorHAnsi"/>
                <w:color w:val="000000"/>
                <w:sz w:val="19"/>
                <w:szCs w:val="19"/>
                <w:lang w:eastAsia="en-GB"/>
              </w:rPr>
              <w:t>MoP</w:t>
            </w:r>
            <w:r w:rsidRPr="00915BBF">
              <w:rPr>
                <w:rFonts w:eastAsia="Times New Roman" w:cstheme="minorHAnsi"/>
                <w:color w:val="000000"/>
                <w:sz w:val="19"/>
                <w:szCs w:val="19"/>
                <w:lang w:eastAsia="en-GB"/>
              </w:rPr>
              <w:t>11.</w:t>
            </w:r>
          </w:p>
        </w:tc>
        <w:tc>
          <w:tcPr>
            <w:tcW w:w="690" w:type="pct"/>
            <w:tcBorders>
              <w:top w:val="single" w:sz="4" w:space="0" w:color="auto"/>
              <w:left w:val="nil"/>
              <w:bottom w:val="single" w:sz="4" w:space="0" w:color="auto"/>
              <w:right w:val="single" w:sz="4" w:space="0" w:color="auto"/>
            </w:tcBorders>
            <w:shd w:val="clear" w:color="auto" w:fill="auto"/>
          </w:tcPr>
          <w:p w14:paraId="76FC53AD" w14:textId="25C05628"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4922FB19" w14:textId="55C1FF5C"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tc>
      </w:tr>
      <w:tr w:rsidR="00915BBF" w:rsidRPr="00E51CBD" w14:paraId="157B6B6D" w14:textId="77777777" w:rsidTr="00915BBF">
        <w:trPr>
          <w:cantSplit/>
        </w:trPr>
        <w:tc>
          <w:tcPr>
            <w:tcW w:w="1433" w:type="pct"/>
            <w:vMerge/>
            <w:tcBorders>
              <w:left w:val="single" w:sz="4" w:space="0" w:color="auto"/>
              <w:right w:val="single" w:sz="4" w:space="0" w:color="auto"/>
            </w:tcBorders>
            <w:shd w:val="clear" w:color="auto" w:fill="auto"/>
          </w:tcPr>
          <w:p w14:paraId="4CDA4087"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6BEA637E" w14:textId="0DAE56DB"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provide additional information on the EAAFP Sister Site Program to Partners.</w:t>
            </w:r>
          </w:p>
        </w:tc>
        <w:tc>
          <w:tcPr>
            <w:tcW w:w="690" w:type="pct"/>
            <w:tcBorders>
              <w:top w:val="single" w:sz="4" w:space="0" w:color="auto"/>
              <w:left w:val="nil"/>
              <w:bottom w:val="single" w:sz="4" w:space="0" w:color="auto"/>
              <w:right w:val="single" w:sz="4" w:space="0" w:color="auto"/>
            </w:tcBorders>
            <w:shd w:val="clear" w:color="auto" w:fill="auto"/>
          </w:tcPr>
          <w:p w14:paraId="19F7BA8F" w14:textId="0E6E583F"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w:t>
            </w:r>
          </w:p>
        </w:tc>
        <w:tc>
          <w:tcPr>
            <w:tcW w:w="538" w:type="pct"/>
            <w:tcBorders>
              <w:top w:val="single" w:sz="4" w:space="0" w:color="auto"/>
              <w:left w:val="nil"/>
              <w:bottom w:val="single" w:sz="4" w:space="0" w:color="auto"/>
              <w:right w:val="single" w:sz="4" w:space="0" w:color="auto"/>
            </w:tcBorders>
            <w:shd w:val="clear" w:color="auto" w:fill="auto"/>
          </w:tcPr>
          <w:p w14:paraId="4FBCB513" w14:textId="5974EE94"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2,400</w:t>
            </w:r>
          </w:p>
        </w:tc>
      </w:tr>
      <w:tr w:rsidR="00915BBF" w:rsidRPr="00E51CBD" w14:paraId="7E99A359" w14:textId="77777777" w:rsidTr="00915BBF">
        <w:trPr>
          <w:cantSplit/>
        </w:trPr>
        <w:tc>
          <w:tcPr>
            <w:tcW w:w="1433" w:type="pct"/>
            <w:vMerge/>
            <w:tcBorders>
              <w:left w:val="single" w:sz="4" w:space="0" w:color="auto"/>
              <w:right w:val="single" w:sz="4" w:space="0" w:color="auto"/>
            </w:tcBorders>
            <w:shd w:val="clear" w:color="auto" w:fill="auto"/>
          </w:tcPr>
          <w:p w14:paraId="6DB198A9"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513A726C" w14:textId="21185E6E"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subject to available resources, to support the establishment and operation of EAAFP Sister Site arrangements by providing CEPA materials, hosting workshops and capacity building training sessions.</w:t>
            </w:r>
          </w:p>
        </w:tc>
        <w:tc>
          <w:tcPr>
            <w:tcW w:w="690" w:type="pct"/>
            <w:tcBorders>
              <w:top w:val="single" w:sz="4" w:space="0" w:color="auto"/>
              <w:left w:val="nil"/>
              <w:bottom w:val="single" w:sz="4" w:space="0" w:color="auto"/>
              <w:right w:val="single" w:sz="4" w:space="0" w:color="auto"/>
            </w:tcBorders>
            <w:shd w:val="clear" w:color="auto" w:fill="auto"/>
          </w:tcPr>
          <w:p w14:paraId="4A4469C8" w14:textId="53B1ED68"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30</w:t>
            </w:r>
          </w:p>
        </w:tc>
        <w:tc>
          <w:tcPr>
            <w:tcW w:w="538" w:type="pct"/>
            <w:tcBorders>
              <w:top w:val="single" w:sz="4" w:space="0" w:color="auto"/>
              <w:left w:val="nil"/>
              <w:bottom w:val="single" w:sz="4" w:space="0" w:color="auto"/>
              <w:right w:val="single" w:sz="4" w:space="0" w:color="auto"/>
            </w:tcBorders>
            <w:shd w:val="clear" w:color="auto" w:fill="auto"/>
          </w:tcPr>
          <w:p w14:paraId="3D9B019C" w14:textId="6F62530E"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80,000</w:t>
            </w:r>
          </w:p>
        </w:tc>
      </w:tr>
      <w:tr w:rsidR="00915BBF" w:rsidRPr="00E51CBD" w14:paraId="49F8B880"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671C79D3"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A7A9474" w14:textId="375A69DE"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report on their progress to establish and maintain Sister Site arrangements and other collaborative activities.</w:t>
            </w:r>
          </w:p>
        </w:tc>
        <w:tc>
          <w:tcPr>
            <w:tcW w:w="690" w:type="pct"/>
            <w:tcBorders>
              <w:top w:val="single" w:sz="4" w:space="0" w:color="auto"/>
              <w:left w:val="nil"/>
              <w:bottom w:val="single" w:sz="4" w:space="0" w:color="auto"/>
              <w:right w:val="single" w:sz="4" w:space="0" w:color="auto"/>
            </w:tcBorders>
            <w:shd w:val="clear" w:color="auto" w:fill="auto"/>
          </w:tcPr>
          <w:p w14:paraId="5B9E0932" w14:textId="229C4AC2"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58D3A1F2" w14:textId="60ECB789"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95C8A35" w14:textId="77777777" w:rsidTr="00915BBF">
        <w:trPr>
          <w:cantSplit/>
          <w:trHeight w:val="60"/>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999E353" w14:textId="5A25D876"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DD.10 Standardized Taxonomy for Migratory </w:t>
            </w:r>
            <w:proofErr w:type="spellStart"/>
            <w:r w:rsidRPr="00915BBF">
              <w:rPr>
                <w:rFonts w:eastAsia="Times New Roman" w:cstheme="minorHAnsi"/>
                <w:color w:val="000000"/>
                <w:sz w:val="19"/>
                <w:szCs w:val="19"/>
                <w:lang w:eastAsia="en-GB"/>
              </w:rPr>
              <w:t>Waterbirds</w:t>
            </w:r>
            <w:proofErr w:type="spellEnd"/>
          </w:p>
        </w:tc>
        <w:tc>
          <w:tcPr>
            <w:tcW w:w="2339" w:type="pct"/>
            <w:tcBorders>
              <w:top w:val="single" w:sz="4" w:space="0" w:color="auto"/>
              <w:left w:val="nil"/>
              <w:bottom w:val="single" w:sz="4" w:space="0" w:color="auto"/>
              <w:right w:val="single" w:sz="4" w:space="0" w:color="auto"/>
            </w:tcBorders>
            <w:shd w:val="clear" w:color="auto" w:fill="auto"/>
          </w:tcPr>
          <w:p w14:paraId="5FB2C57C" w14:textId="558ED46D"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84F1A2F" w14:textId="730747AF"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3DAC6BBE" w14:textId="79560885"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2FE6963"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5E2ED68A" w14:textId="5CA0FCCE"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DD.11 Amendment to Appendix III of the Partnership Document</w:t>
            </w:r>
          </w:p>
        </w:tc>
        <w:tc>
          <w:tcPr>
            <w:tcW w:w="2339" w:type="pct"/>
            <w:tcBorders>
              <w:top w:val="single" w:sz="4" w:space="0" w:color="auto"/>
              <w:left w:val="nil"/>
              <w:bottom w:val="single" w:sz="4" w:space="0" w:color="auto"/>
              <w:right w:val="single" w:sz="4" w:space="0" w:color="auto"/>
            </w:tcBorders>
            <w:shd w:val="clear" w:color="auto" w:fill="auto"/>
          </w:tcPr>
          <w:p w14:paraId="45E94A51" w14:textId="3AEE9F38"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update the Partnership document and make it available on the EAAFP website.</w:t>
            </w:r>
          </w:p>
        </w:tc>
        <w:tc>
          <w:tcPr>
            <w:tcW w:w="690" w:type="pct"/>
            <w:tcBorders>
              <w:top w:val="single" w:sz="4" w:space="0" w:color="auto"/>
              <w:left w:val="nil"/>
              <w:bottom w:val="single" w:sz="4" w:space="0" w:color="auto"/>
              <w:right w:val="single" w:sz="4" w:space="0" w:color="auto"/>
            </w:tcBorders>
            <w:shd w:val="clear" w:color="auto" w:fill="auto"/>
          </w:tcPr>
          <w:p w14:paraId="4B4FD799" w14:textId="77777777"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w:t>
            </w:r>
          </w:p>
          <w:p w14:paraId="21D4EBA1" w14:textId="4EC411A1" w:rsidR="00AF0886" w:rsidRPr="00915BBF" w:rsidRDefault="00AF0886" w:rsidP="00AF0886">
            <w:pPr>
              <w:spacing w:after="0" w:line="240" w:lineRule="auto"/>
              <w:ind w:right="100"/>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auto"/>
          </w:tcPr>
          <w:p w14:paraId="0B1059FF" w14:textId="77777777"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p w14:paraId="0060500A" w14:textId="52E52501" w:rsidR="00AF0886" w:rsidRPr="00915BBF" w:rsidRDefault="00AF0886" w:rsidP="00BC1200">
            <w:pPr>
              <w:spacing w:after="0" w:line="240" w:lineRule="auto"/>
              <w:jc w:val="right"/>
              <w:rPr>
                <w:rFonts w:eastAsia="Times New Roman" w:cstheme="minorHAnsi"/>
                <w:color w:val="000000"/>
                <w:sz w:val="19"/>
                <w:szCs w:val="19"/>
                <w:lang w:eastAsia="en-GB"/>
              </w:rPr>
            </w:pPr>
          </w:p>
        </w:tc>
      </w:tr>
      <w:tr w:rsidR="00915BBF" w:rsidRPr="00E51CBD" w14:paraId="6BAFC700"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3FD3AE96"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6DD7880" w14:textId="2E8687C0"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Technical </w:t>
            </w:r>
            <w:r w:rsidR="00124B56">
              <w:rPr>
                <w:rFonts w:eastAsia="Times New Roman" w:cstheme="minorHAnsi"/>
                <w:color w:val="000000"/>
                <w:sz w:val="19"/>
                <w:szCs w:val="19"/>
                <w:lang w:eastAsia="en-GB"/>
              </w:rPr>
              <w:t>Sub-</w:t>
            </w:r>
            <w:r w:rsidRPr="00915BBF">
              <w:rPr>
                <w:rFonts w:eastAsia="Times New Roman" w:cstheme="minorHAnsi"/>
                <w:color w:val="000000"/>
                <w:sz w:val="19"/>
                <w:szCs w:val="19"/>
                <w:lang w:eastAsia="en-GB"/>
              </w:rPr>
              <w:t>Committee to advise Partners on conservation and management priorities for migratory seabirds at MoP11;</w:t>
            </w:r>
          </w:p>
        </w:tc>
        <w:tc>
          <w:tcPr>
            <w:tcW w:w="690" w:type="pct"/>
            <w:tcBorders>
              <w:top w:val="single" w:sz="4" w:space="0" w:color="auto"/>
              <w:left w:val="nil"/>
              <w:bottom w:val="single" w:sz="4" w:space="0" w:color="auto"/>
              <w:right w:val="single" w:sz="4" w:space="0" w:color="auto"/>
            </w:tcBorders>
            <w:shd w:val="clear" w:color="auto" w:fill="auto"/>
          </w:tcPr>
          <w:p w14:paraId="69648F54" w14:textId="511D1666"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tc>
        <w:tc>
          <w:tcPr>
            <w:tcW w:w="538" w:type="pct"/>
            <w:tcBorders>
              <w:top w:val="single" w:sz="4" w:space="0" w:color="auto"/>
              <w:left w:val="nil"/>
              <w:bottom w:val="single" w:sz="4" w:space="0" w:color="auto"/>
              <w:right w:val="single" w:sz="4" w:space="0" w:color="auto"/>
            </w:tcBorders>
            <w:shd w:val="clear" w:color="auto" w:fill="auto"/>
          </w:tcPr>
          <w:p w14:paraId="51DB78A2" w14:textId="4703BF7B"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10,000</w:t>
            </w:r>
          </w:p>
        </w:tc>
      </w:tr>
      <w:tr w:rsidR="00915BBF" w:rsidRPr="00E51CBD" w14:paraId="67B00407"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151DCF7A" w14:textId="2DAF2936"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DD.12 Development of a Conservation Status Review of Migratory </w:t>
            </w:r>
            <w:proofErr w:type="spellStart"/>
            <w:r w:rsidRPr="00915BBF">
              <w:rPr>
                <w:rFonts w:eastAsia="Times New Roman" w:cstheme="minorHAnsi"/>
                <w:color w:val="000000"/>
                <w:sz w:val="19"/>
                <w:szCs w:val="19"/>
                <w:lang w:eastAsia="en-GB"/>
              </w:rPr>
              <w:t>Waterbird</w:t>
            </w:r>
            <w:proofErr w:type="spellEnd"/>
            <w:r w:rsidRPr="00915BBF">
              <w:rPr>
                <w:rFonts w:eastAsia="Times New Roman" w:cstheme="minorHAnsi"/>
                <w:color w:val="000000"/>
                <w:sz w:val="19"/>
                <w:szCs w:val="19"/>
                <w:lang w:eastAsia="en-GB"/>
              </w:rPr>
              <w:t xml:space="preserve"> Populations for the EAAFP</w:t>
            </w:r>
          </w:p>
        </w:tc>
        <w:tc>
          <w:tcPr>
            <w:tcW w:w="2339" w:type="pct"/>
            <w:tcBorders>
              <w:top w:val="single" w:sz="4" w:space="0" w:color="auto"/>
              <w:left w:val="nil"/>
              <w:bottom w:val="single" w:sz="4" w:space="0" w:color="auto"/>
              <w:right w:val="single" w:sz="4" w:space="0" w:color="auto"/>
            </w:tcBorders>
            <w:shd w:val="clear" w:color="auto" w:fill="auto"/>
          </w:tcPr>
          <w:p w14:paraId="33AD41B7" w14:textId="69160E84"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Production of an EAAF Conservation Status Review</w:t>
            </w:r>
            <w:r w:rsidRPr="00915BBF" w:rsidDel="00216183">
              <w:rPr>
                <w:rFonts w:eastAsia="Times New Roman" w:cstheme="minorHAnsi"/>
                <w:color w:val="000000"/>
                <w:sz w:val="19"/>
                <w:szCs w:val="19"/>
                <w:lang w:eastAsia="en-GB"/>
              </w:rPr>
              <w:t xml:space="preserve"> </w:t>
            </w:r>
            <w:r w:rsidRPr="00915BBF">
              <w:rPr>
                <w:rFonts w:eastAsia="Times New Roman" w:cstheme="minorHAnsi"/>
                <w:color w:val="000000"/>
                <w:sz w:val="19"/>
                <w:szCs w:val="19"/>
                <w:lang w:eastAsia="en-GB"/>
              </w:rPr>
              <w:t>in consultation with Partners, Working Groups, Task Forces and other experts, with a target for a first edition to be produced by end 2019</w:t>
            </w:r>
          </w:p>
        </w:tc>
        <w:tc>
          <w:tcPr>
            <w:tcW w:w="690" w:type="pct"/>
            <w:tcBorders>
              <w:top w:val="single" w:sz="4" w:space="0" w:color="auto"/>
              <w:left w:val="nil"/>
              <w:bottom w:val="single" w:sz="4" w:space="0" w:color="auto"/>
              <w:right w:val="single" w:sz="4" w:space="0" w:color="auto"/>
            </w:tcBorders>
            <w:shd w:val="clear" w:color="auto" w:fill="auto"/>
          </w:tcPr>
          <w:p w14:paraId="18BEE921" w14:textId="15ECE586"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8</w:t>
            </w:r>
          </w:p>
        </w:tc>
        <w:tc>
          <w:tcPr>
            <w:tcW w:w="538" w:type="pct"/>
            <w:tcBorders>
              <w:top w:val="single" w:sz="4" w:space="0" w:color="auto"/>
              <w:left w:val="nil"/>
              <w:bottom w:val="single" w:sz="4" w:space="0" w:color="auto"/>
              <w:right w:val="single" w:sz="4" w:space="0" w:color="auto"/>
            </w:tcBorders>
            <w:shd w:val="clear" w:color="auto" w:fill="auto"/>
          </w:tcPr>
          <w:p w14:paraId="6F025870" w14:textId="45CA377F"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50,000</w:t>
            </w:r>
          </w:p>
        </w:tc>
      </w:tr>
      <w:tr w:rsidR="00915BBF" w:rsidRPr="00E51CBD" w14:paraId="71FB8ACA"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6697658B" w14:textId="52972BD5"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DD.13 Migratory Species of Conservation Concern in the ASEAN Region</w:t>
            </w:r>
          </w:p>
        </w:tc>
        <w:tc>
          <w:tcPr>
            <w:tcW w:w="2339" w:type="pct"/>
            <w:tcBorders>
              <w:top w:val="single" w:sz="4" w:space="0" w:color="auto"/>
              <w:left w:val="nil"/>
              <w:bottom w:val="single" w:sz="4" w:space="0" w:color="auto"/>
              <w:right w:val="single" w:sz="4" w:space="0" w:color="auto"/>
            </w:tcBorders>
            <w:shd w:val="clear" w:color="auto" w:fill="auto"/>
          </w:tcPr>
          <w:p w14:paraId="591F8001" w14:textId="7B0FDB49"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provide technical support to the ASEAN Flyway Network who will implement the recommendations</w:t>
            </w:r>
          </w:p>
        </w:tc>
        <w:tc>
          <w:tcPr>
            <w:tcW w:w="690" w:type="pct"/>
            <w:tcBorders>
              <w:top w:val="single" w:sz="4" w:space="0" w:color="auto"/>
              <w:left w:val="nil"/>
              <w:bottom w:val="single" w:sz="4" w:space="0" w:color="auto"/>
              <w:right w:val="single" w:sz="4" w:space="0" w:color="auto"/>
            </w:tcBorders>
            <w:shd w:val="clear" w:color="auto" w:fill="auto"/>
          </w:tcPr>
          <w:p w14:paraId="287E7F88" w14:textId="4980136E"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8</w:t>
            </w:r>
          </w:p>
        </w:tc>
        <w:tc>
          <w:tcPr>
            <w:tcW w:w="538" w:type="pct"/>
            <w:tcBorders>
              <w:top w:val="single" w:sz="4" w:space="0" w:color="auto"/>
              <w:left w:val="nil"/>
              <w:bottom w:val="single" w:sz="4" w:space="0" w:color="auto"/>
              <w:right w:val="single" w:sz="4" w:space="0" w:color="auto"/>
            </w:tcBorders>
            <w:shd w:val="clear" w:color="auto" w:fill="auto"/>
          </w:tcPr>
          <w:p w14:paraId="17EF3DBB" w14:textId="5E7EDF42"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17C54C87"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5A0852D4" w14:textId="29D83511"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DD.14 International Single Species Action Plan for the Conservation of the Dalmatian Pelican</w:t>
            </w:r>
          </w:p>
        </w:tc>
        <w:tc>
          <w:tcPr>
            <w:tcW w:w="2339" w:type="pct"/>
            <w:tcBorders>
              <w:top w:val="single" w:sz="4" w:space="0" w:color="auto"/>
              <w:left w:val="nil"/>
              <w:bottom w:val="single" w:sz="4" w:space="0" w:color="auto"/>
              <w:right w:val="single" w:sz="4" w:space="0" w:color="auto"/>
            </w:tcBorders>
            <w:shd w:val="clear" w:color="auto" w:fill="auto"/>
          </w:tcPr>
          <w:p w14:paraId="0C5E7B24" w14:textId="387B3E11"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Hold workshop in 2019 to develop Implementation Plan and  prioritize actions. Secretariat makes Plan available on the EAAFP website and bring it to the attention of all Range States and relevant stakeholders.</w:t>
            </w:r>
          </w:p>
        </w:tc>
        <w:tc>
          <w:tcPr>
            <w:tcW w:w="690" w:type="pct"/>
            <w:tcBorders>
              <w:top w:val="single" w:sz="4" w:space="0" w:color="auto"/>
              <w:left w:val="nil"/>
              <w:bottom w:val="single" w:sz="4" w:space="0" w:color="auto"/>
              <w:right w:val="single" w:sz="4" w:space="0" w:color="auto"/>
            </w:tcBorders>
            <w:shd w:val="clear" w:color="auto" w:fill="auto"/>
          </w:tcPr>
          <w:p w14:paraId="1FA6CBAD" w14:textId="5A4D0310"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5CE07D25" w14:textId="5E4FA44E"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30,000</w:t>
            </w:r>
          </w:p>
        </w:tc>
      </w:tr>
      <w:tr w:rsidR="00915BBF" w:rsidRPr="00E51CBD" w14:paraId="7B9016AA"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EAA0694" w14:textId="77777777" w:rsidR="00BC1200" w:rsidRPr="00915BBF" w:rsidRDefault="00BC1200"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BCB2679" w14:textId="0FF43FF3" w:rsidR="00BC1200" w:rsidRPr="00915BBF" w:rsidRDefault="00BC1200" w:rsidP="00BC1200">
            <w:pPr>
              <w:spacing w:after="0" w:line="240" w:lineRule="auto"/>
              <w:jc w:val="right"/>
              <w:rPr>
                <w:rFonts w:eastAsia="Times New Roman" w:cstheme="minorHAnsi"/>
                <w:b/>
                <w:color w:val="000000"/>
                <w:sz w:val="19"/>
                <w:szCs w:val="19"/>
                <w:lang w:eastAsia="en-GB"/>
              </w:rPr>
            </w:pPr>
            <w:r w:rsidRPr="00915BBF">
              <w:rPr>
                <w:rFonts w:eastAsia="Times New Roman" w:cstheme="minorHAnsi"/>
                <w:b/>
                <w:color w:val="000000"/>
                <w:sz w:val="19"/>
                <w:szCs w:val="19"/>
                <w:lang w:eastAsia="en-GB"/>
              </w:rPr>
              <w:t>Total</w:t>
            </w:r>
          </w:p>
        </w:tc>
        <w:tc>
          <w:tcPr>
            <w:tcW w:w="690" w:type="pct"/>
            <w:tcBorders>
              <w:top w:val="single" w:sz="4" w:space="0" w:color="auto"/>
              <w:left w:val="nil"/>
              <w:bottom w:val="single" w:sz="4" w:space="0" w:color="auto"/>
              <w:right w:val="single" w:sz="4" w:space="0" w:color="auto"/>
            </w:tcBorders>
            <w:shd w:val="clear" w:color="auto" w:fill="auto"/>
          </w:tcPr>
          <w:p w14:paraId="5B8FA71A" w14:textId="7DFD0305" w:rsidR="00BC1200" w:rsidRPr="00915BBF" w:rsidRDefault="00D42DD8" w:rsidP="00BC1200">
            <w:pPr>
              <w:spacing w:after="0" w:line="240" w:lineRule="auto"/>
              <w:jc w:val="right"/>
              <w:rPr>
                <w:rFonts w:eastAsia="Times New Roman" w:cstheme="minorHAnsi"/>
                <w:b/>
                <w:color w:val="000000"/>
                <w:sz w:val="19"/>
                <w:szCs w:val="19"/>
                <w:lang w:eastAsia="en-GB"/>
              </w:rPr>
            </w:pPr>
            <w:r>
              <w:rPr>
                <w:rFonts w:eastAsia="Times New Roman" w:cstheme="minorHAnsi"/>
                <w:b/>
                <w:color w:val="000000"/>
                <w:sz w:val="19"/>
                <w:szCs w:val="19"/>
                <w:lang w:eastAsia="en-GB"/>
              </w:rPr>
              <w:t>417 day/</w:t>
            </w:r>
            <w:proofErr w:type="spellStart"/>
            <w:r>
              <w:rPr>
                <w:rFonts w:eastAsia="Times New Roman" w:cstheme="minorHAnsi"/>
                <w:b/>
                <w:color w:val="000000"/>
                <w:sz w:val="19"/>
                <w:szCs w:val="19"/>
                <w:lang w:eastAsia="en-GB"/>
              </w:rPr>
              <w:t>yr</w:t>
            </w:r>
            <w:proofErr w:type="spellEnd"/>
          </w:p>
        </w:tc>
        <w:tc>
          <w:tcPr>
            <w:tcW w:w="538" w:type="pct"/>
            <w:tcBorders>
              <w:top w:val="single" w:sz="4" w:space="0" w:color="auto"/>
              <w:left w:val="nil"/>
              <w:bottom w:val="single" w:sz="4" w:space="0" w:color="auto"/>
              <w:right w:val="single" w:sz="4" w:space="0" w:color="auto"/>
            </w:tcBorders>
            <w:shd w:val="clear" w:color="auto" w:fill="auto"/>
          </w:tcPr>
          <w:p w14:paraId="310A84A9" w14:textId="1CAE64EF" w:rsidR="00BC1200" w:rsidRPr="00915BBF" w:rsidRDefault="00D42DD8" w:rsidP="00BC1200">
            <w:pPr>
              <w:spacing w:after="0" w:line="240" w:lineRule="auto"/>
              <w:jc w:val="right"/>
              <w:rPr>
                <w:rFonts w:eastAsia="Times New Roman" w:cstheme="minorHAnsi"/>
                <w:b/>
                <w:color w:val="000000"/>
                <w:sz w:val="19"/>
                <w:szCs w:val="19"/>
                <w:lang w:eastAsia="en-GB"/>
              </w:rPr>
            </w:pPr>
            <w:r>
              <w:rPr>
                <w:rFonts w:eastAsia="Times New Roman" w:cstheme="minorHAnsi"/>
                <w:b/>
                <w:color w:val="000000"/>
                <w:sz w:val="19"/>
                <w:szCs w:val="19"/>
                <w:lang w:eastAsia="en-GB"/>
              </w:rPr>
              <w:t>USD 300,000</w:t>
            </w:r>
          </w:p>
        </w:tc>
      </w:tr>
    </w:tbl>
    <w:p w14:paraId="6F0E527A" w14:textId="77777777" w:rsidR="00B81EAD" w:rsidRPr="00A25FBB" w:rsidRDefault="00B81EAD" w:rsidP="00B81EAD">
      <w:pPr>
        <w:spacing w:after="0"/>
        <w:rPr>
          <w:rFonts w:ascii="Arial" w:hAnsi="Arial" w:cs="Arial"/>
          <w:b/>
          <w:sz w:val="28"/>
          <w:szCs w:val="28"/>
        </w:rPr>
      </w:pPr>
    </w:p>
    <w:sectPr w:rsidR="00B81EAD" w:rsidRPr="00A25FBB" w:rsidSect="005B0553">
      <w:pgSz w:w="15840" w:h="12240" w:orient="landscape"/>
      <w:pgMar w:top="1304" w:right="1588"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20F9" w14:textId="77777777" w:rsidR="00A03ABF" w:rsidRDefault="00A03ABF" w:rsidP="00647AB3">
      <w:pPr>
        <w:spacing w:after="0" w:line="240" w:lineRule="auto"/>
      </w:pPr>
      <w:r>
        <w:separator/>
      </w:r>
    </w:p>
  </w:endnote>
  <w:endnote w:type="continuationSeparator" w:id="0">
    <w:p w14:paraId="127FFFE5" w14:textId="77777777" w:rsidR="00A03ABF" w:rsidRDefault="00A03ABF"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647AB3" w:rsidRDefault="00647AB3">
        <w:pPr>
          <w:pStyle w:val="Footer"/>
          <w:jc w:val="right"/>
        </w:pPr>
        <w:r>
          <w:fldChar w:fldCharType="begin"/>
        </w:r>
        <w:r>
          <w:instrText xml:space="preserve"> PAGE   \* MERGEFORMAT </w:instrText>
        </w:r>
        <w:r>
          <w:fldChar w:fldCharType="separate"/>
        </w:r>
        <w:r w:rsidR="00C735DB">
          <w:rPr>
            <w:noProof/>
          </w:rPr>
          <w:t>3</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0F70" w14:textId="77777777" w:rsidR="00A03ABF" w:rsidRDefault="00A03ABF" w:rsidP="00647AB3">
      <w:pPr>
        <w:spacing w:after="0" w:line="240" w:lineRule="auto"/>
      </w:pPr>
      <w:r>
        <w:separator/>
      </w:r>
    </w:p>
  </w:footnote>
  <w:footnote w:type="continuationSeparator" w:id="0">
    <w:p w14:paraId="52952F61" w14:textId="77777777" w:rsidR="00A03ABF" w:rsidRDefault="00A03ABF"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38D5894D" w:rsidR="007750BB" w:rsidRPr="00D605A4" w:rsidRDefault="007750BB" w:rsidP="007750BB">
    <w:pPr>
      <w:pStyle w:val="Header"/>
      <w:pBdr>
        <w:bottom w:val="single" w:sz="4" w:space="1" w:color="auto"/>
      </w:pBdr>
      <w:rPr>
        <w:rFonts w:cs="Arial"/>
        <w:i/>
        <w:szCs w:val="18"/>
        <w:lang w:val="de-DE"/>
      </w:rPr>
    </w:pPr>
    <w:r>
      <w:rPr>
        <w:rFonts w:cs="Arial"/>
        <w:i/>
        <w:szCs w:val="18"/>
        <w:lang w:val="de-DE"/>
      </w:rPr>
      <w:t>EAAFP/M</w:t>
    </w:r>
    <w:r w:rsidR="00124B56">
      <w:rPr>
        <w:rFonts w:cs="Arial"/>
        <w:i/>
        <w:szCs w:val="18"/>
        <w:lang w:val="de-DE"/>
      </w:rPr>
      <w:t>o</w:t>
    </w:r>
    <w:r>
      <w:rPr>
        <w:rFonts w:cs="Arial"/>
        <w:i/>
        <w:szCs w:val="18"/>
        <w:lang w:val="de-DE"/>
      </w:rPr>
      <w:t>P10/</w:t>
    </w:r>
    <w:r w:rsidR="00E52C5F">
      <w:rPr>
        <w:rFonts w:cs="Arial"/>
        <w:i/>
        <w:szCs w:val="18"/>
        <w:lang w:val="de-DE"/>
      </w:rPr>
      <w:t>D</w:t>
    </w:r>
    <w:r w:rsidR="00E11DFC">
      <w:rPr>
        <w:rFonts w:cs="Arial"/>
        <w:i/>
        <w:szCs w:val="18"/>
        <w:lang w:val="de-DE"/>
      </w:rPr>
      <w:t>ocument 12</w:t>
    </w:r>
  </w:p>
  <w:p w14:paraId="4D735C03" w14:textId="77777777" w:rsidR="007750BB" w:rsidRDefault="00775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45BC2"/>
    <w:multiLevelType w:val="multilevel"/>
    <w:tmpl w:val="E5E89F92"/>
    <w:numStyleLink w:val="BulletList"/>
  </w:abstractNum>
  <w:abstractNum w:abstractNumId="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0"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1"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7C1E6735"/>
    <w:multiLevelType w:val="multilevel"/>
    <w:tmpl w:val="677EDC52"/>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4"/>
  </w:num>
  <w:num w:numId="2">
    <w:abstractNumId w:val="0"/>
  </w:num>
  <w:num w:numId="3">
    <w:abstractNumId w:val="1"/>
  </w:num>
  <w:num w:numId="4">
    <w:abstractNumId w:val="5"/>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8"/>
  </w:num>
  <w:num w:numId="6">
    <w:abstractNumId w:val="6"/>
  </w:num>
  <w:num w:numId="7">
    <w:abstractNumId w:val="9"/>
  </w:num>
  <w:num w:numId="8">
    <w:abstractNumId w:val="12"/>
  </w:num>
  <w:num w:numId="9">
    <w:abstractNumId w:val="10"/>
  </w:num>
  <w:num w:numId="10">
    <w:abstractNumId w:val="5"/>
  </w:num>
  <w:num w:numId="11">
    <w:abstractNumId w:val="0"/>
  </w:num>
  <w:num w:numId="12">
    <w:abstractNumId w:val="7"/>
  </w:num>
  <w:num w:numId="13">
    <w:abstractNumId w:val="3"/>
  </w:num>
  <w:num w:numId="14">
    <w:abstractNumId w:val="11"/>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3D6B"/>
    <w:rsid w:val="00004B0A"/>
    <w:rsid w:val="00024C2A"/>
    <w:rsid w:val="00033765"/>
    <w:rsid w:val="00055FAA"/>
    <w:rsid w:val="00057CA5"/>
    <w:rsid w:val="0006020F"/>
    <w:rsid w:val="000642C7"/>
    <w:rsid w:val="0006774A"/>
    <w:rsid w:val="00072564"/>
    <w:rsid w:val="000740FA"/>
    <w:rsid w:val="00087F4B"/>
    <w:rsid w:val="000B0C4A"/>
    <w:rsid w:val="000C1F7B"/>
    <w:rsid w:val="000D3545"/>
    <w:rsid w:val="000D75EE"/>
    <w:rsid w:val="000E3D9A"/>
    <w:rsid w:val="00124B56"/>
    <w:rsid w:val="00124E8F"/>
    <w:rsid w:val="00132C48"/>
    <w:rsid w:val="00141107"/>
    <w:rsid w:val="00142454"/>
    <w:rsid w:val="00144A5A"/>
    <w:rsid w:val="00192C99"/>
    <w:rsid w:val="001B46A8"/>
    <w:rsid w:val="001D331B"/>
    <w:rsid w:val="001D4D13"/>
    <w:rsid w:val="001F041E"/>
    <w:rsid w:val="00202133"/>
    <w:rsid w:val="00205BDE"/>
    <w:rsid w:val="00206953"/>
    <w:rsid w:val="00207F47"/>
    <w:rsid w:val="0021665F"/>
    <w:rsid w:val="002341DB"/>
    <w:rsid w:val="002519F1"/>
    <w:rsid w:val="00267A86"/>
    <w:rsid w:val="00294158"/>
    <w:rsid w:val="002B24B1"/>
    <w:rsid w:val="002D0616"/>
    <w:rsid w:val="002D2487"/>
    <w:rsid w:val="00305D96"/>
    <w:rsid w:val="00316356"/>
    <w:rsid w:val="00322A6A"/>
    <w:rsid w:val="00327E79"/>
    <w:rsid w:val="003501AB"/>
    <w:rsid w:val="00374C98"/>
    <w:rsid w:val="0037556A"/>
    <w:rsid w:val="00392E2F"/>
    <w:rsid w:val="003B4D09"/>
    <w:rsid w:val="004172EE"/>
    <w:rsid w:val="004357E1"/>
    <w:rsid w:val="00441C01"/>
    <w:rsid w:val="004460CF"/>
    <w:rsid w:val="00462565"/>
    <w:rsid w:val="0047304A"/>
    <w:rsid w:val="0047326C"/>
    <w:rsid w:val="004935EE"/>
    <w:rsid w:val="00496340"/>
    <w:rsid w:val="004D6AE1"/>
    <w:rsid w:val="004E21A8"/>
    <w:rsid w:val="004F4B99"/>
    <w:rsid w:val="00504053"/>
    <w:rsid w:val="00513F2D"/>
    <w:rsid w:val="00543047"/>
    <w:rsid w:val="005552B3"/>
    <w:rsid w:val="00555C2E"/>
    <w:rsid w:val="0058111E"/>
    <w:rsid w:val="005A3324"/>
    <w:rsid w:val="005B0553"/>
    <w:rsid w:val="005C0F86"/>
    <w:rsid w:val="005C3FA9"/>
    <w:rsid w:val="005D2126"/>
    <w:rsid w:val="005D40A6"/>
    <w:rsid w:val="005E5BCC"/>
    <w:rsid w:val="00645456"/>
    <w:rsid w:val="00647AB3"/>
    <w:rsid w:val="006645EA"/>
    <w:rsid w:val="006653D0"/>
    <w:rsid w:val="00683D99"/>
    <w:rsid w:val="006A7ED7"/>
    <w:rsid w:val="006C2E43"/>
    <w:rsid w:val="006C7B45"/>
    <w:rsid w:val="006E12C0"/>
    <w:rsid w:val="006E38F3"/>
    <w:rsid w:val="006F127F"/>
    <w:rsid w:val="007102E7"/>
    <w:rsid w:val="007412D0"/>
    <w:rsid w:val="007727B4"/>
    <w:rsid w:val="00774782"/>
    <w:rsid w:val="007750BB"/>
    <w:rsid w:val="00776C47"/>
    <w:rsid w:val="00797787"/>
    <w:rsid w:val="007A70B3"/>
    <w:rsid w:val="007A7BF2"/>
    <w:rsid w:val="007B1A43"/>
    <w:rsid w:val="007C33D4"/>
    <w:rsid w:val="007E4408"/>
    <w:rsid w:val="007F03C9"/>
    <w:rsid w:val="007F3C00"/>
    <w:rsid w:val="00800D4A"/>
    <w:rsid w:val="00805088"/>
    <w:rsid w:val="008076BF"/>
    <w:rsid w:val="00815320"/>
    <w:rsid w:val="0085002D"/>
    <w:rsid w:val="00865A04"/>
    <w:rsid w:val="00871CF6"/>
    <w:rsid w:val="0087371E"/>
    <w:rsid w:val="00890835"/>
    <w:rsid w:val="008C5C60"/>
    <w:rsid w:val="008D1EDE"/>
    <w:rsid w:val="008E4D3E"/>
    <w:rsid w:val="008E7546"/>
    <w:rsid w:val="00905AAC"/>
    <w:rsid w:val="00915BBF"/>
    <w:rsid w:val="00921B4D"/>
    <w:rsid w:val="009604DD"/>
    <w:rsid w:val="00965B12"/>
    <w:rsid w:val="009A79B1"/>
    <w:rsid w:val="009E3687"/>
    <w:rsid w:val="00A03ABF"/>
    <w:rsid w:val="00A05330"/>
    <w:rsid w:val="00A2045D"/>
    <w:rsid w:val="00A25FBB"/>
    <w:rsid w:val="00A264F6"/>
    <w:rsid w:val="00A92740"/>
    <w:rsid w:val="00AA029C"/>
    <w:rsid w:val="00AC4630"/>
    <w:rsid w:val="00AE7EBD"/>
    <w:rsid w:val="00AF0886"/>
    <w:rsid w:val="00AF68FB"/>
    <w:rsid w:val="00B07AC2"/>
    <w:rsid w:val="00B12715"/>
    <w:rsid w:val="00B13D7D"/>
    <w:rsid w:val="00B37617"/>
    <w:rsid w:val="00B504BA"/>
    <w:rsid w:val="00B8156D"/>
    <w:rsid w:val="00B81EAD"/>
    <w:rsid w:val="00B9295F"/>
    <w:rsid w:val="00BB509B"/>
    <w:rsid w:val="00BC1200"/>
    <w:rsid w:val="00BC1DF7"/>
    <w:rsid w:val="00BC242F"/>
    <w:rsid w:val="00BF222A"/>
    <w:rsid w:val="00C07732"/>
    <w:rsid w:val="00C16B11"/>
    <w:rsid w:val="00C2368C"/>
    <w:rsid w:val="00C26B2C"/>
    <w:rsid w:val="00C33073"/>
    <w:rsid w:val="00C34B14"/>
    <w:rsid w:val="00C42018"/>
    <w:rsid w:val="00C46C74"/>
    <w:rsid w:val="00C47CC0"/>
    <w:rsid w:val="00C61A59"/>
    <w:rsid w:val="00C735DB"/>
    <w:rsid w:val="00CA2C7A"/>
    <w:rsid w:val="00CC4543"/>
    <w:rsid w:val="00CD552A"/>
    <w:rsid w:val="00CF2BAC"/>
    <w:rsid w:val="00D11BBD"/>
    <w:rsid w:val="00D127F9"/>
    <w:rsid w:val="00D2759C"/>
    <w:rsid w:val="00D42DD8"/>
    <w:rsid w:val="00D472BB"/>
    <w:rsid w:val="00D704AE"/>
    <w:rsid w:val="00D93DD7"/>
    <w:rsid w:val="00DB215A"/>
    <w:rsid w:val="00DB38C8"/>
    <w:rsid w:val="00E01408"/>
    <w:rsid w:val="00E11DFC"/>
    <w:rsid w:val="00E20D8F"/>
    <w:rsid w:val="00E302D3"/>
    <w:rsid w:val="00E52C5F"/>
    <w:rsid w:val="00E539C8"/>
    <w:rsid w:val="00E57103"/>
    <w:rsid w:val="00E641EE"/>
    <w:rsid w:val="00E912F9"/>
    <w:rsid w:val="00E93979"/>
    <w:rsid w:val="00EA787F"/>
    <w:rsid w:val="00EB03D5"/>
    <w:rsid w:val="00EC30DF"/>
    <w:rsid w:val="00ED59FD"/>
    <w:rsid w:val="00EF36AE"/>
    <w:rsid w:val="00F23646"/>
    <w:rsid w:val="00F2377C"/>
    <w:rsid w:val="00F261FC"/>
    <w:rsid w:val="00F26D58"/>
    <w:rsid w:val="00F34F9D"/>
    <w:rsid w:val="00F522F6"/>
    <w:rsid w:val="00F55137"/>
    <w:rsid w:val="00F8330C"/>
    <w:rsid w:val="00FC4BC2"/>
    <w:rsid w:val="00FC553E"/>
    <w:rsid w:val="00FD4293"/>
    <w:rsid w:val="00FF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D4A"/>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3</cp:revision>
  <cp:lastPrinted>2018-09-04T03:59:00Z</cp:lastPrinted>
  <dcterms:created xsi:type="dcterms:W3CDTF">2019-01-15T11:43:00Z</dcterms:created>
  <dcterms:modified xsi:type="dcterms:W3CDTF">2019-01-17T05:13:00Z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