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3EF8" w14:textId="77777777" w:rsidR="007A23A5" w:rsidRPr="007A23A5" w:rsidRDefault="007A23A5" w:rsidP="007A23A5">
      <w:pPr>
        <w:pStyle w:val="Header"/>
        <w:rPr>
          <w:rFonts w:asciiTheme="minorHAnsi" w:hAnsiTheme="minorHAnsi"/>
          <w:sz w:val="20"/>
          <w:szCs w:val="20"/>
        </w:rPr>
      </w:pPr>
      <w:bookmarkStart w:id="0" w:name="_Hlk524439108"/>
      <w:r w:rsidRPr="007A23A5">
        <w:rPr>
          <w:rFonts w:asciiTheme="minorHAnsi" w:hAnsiTheme="minorHAnsi"/>
          <w:noProof/>
          <w:sz w:val="20"/>
          <w:szCs w:val="20"/>
          <w:lang w:eastAsia="ja-JP"/>
        </w:rPr>
        <w:drawing>
          <wp:anchor distT="0" distB="0" distL="114300" distR="114300" simplePos="0" relativeHeight="251661312" behindDoc="0" locked="0" layoutInCell="1" allowOverlap="1" wp14:anchorId="2671A9B4" wp14:editId="718830A9">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7A23A5">
        <w:rPr>
          <w:rFonts w:asciiTheme="minorHAnsi" w:hAnsiTheme="minorHAnsi"/>
          <w:sz w:val="20"/>
          <w:szCs w:val="20"/>
        </w:rPr>
        <w:t>TENTH MEETING OF PARTNERS TO THE PARTNERSHIP FOR EAST ASIAN – AUSTRALASIAN FLYWAY</w:t>
      </w:r>
      <w:r w:rsidRPr="007A23A5">
        <w:rPr>
          <w:rFonts w:asciiTheme="minorHAnsi" w:hAnsiTheme="minorHAnsi"/>
          <w:sz w:val="20"/>
          <w:szCs w:val="20"/>
        </w:rPr>
        <w:br/>
      </w:r>
      <w:proofErr w:type="spellStart"/>
      <w:r w:rsidRPr="007A23A5">
        <w:rPr>
          <w:rFonts w:asciiTheme="minorHAnsi" w:hAnsiTheme="minorHAnsi"/>
          <w:sz w:val="20"/>
          <w:szCs w:val="20"/>
        </w:rPr>
        <w:t>Changjiang</w:t>
      </w:r>
      <w:proofErr w:type="spellEnd"/>
      <w:r w:rsidRPr="007A23A5">
        <w:rPr>
          <w:rFonts w:asciiTheme="minorHAnsi" w:hAnsiTheme="minorHAnsi"/>
          <w:sz w:val="20"/>
          <w:szCs w:val="20"/>
        </w:rPr>
        <w:t>, P.R. China, 10-14 December 2018</w:t>
      </w:r>
      <w:r w:rsidRPr="007A23A5">
        <w:rPr>
          <w:rFonts w:asciiTheme="minorHAnsi" w:hAnsiTheme="minorHAnsi"/>
          <w:sz w:val="20"/>
          <w:szCs w:val="20"/>
        </w:rPr>
        <w:br/>
      </w:r>
    </w:p>
    <w:bookmarkEnd w:id="0"/>
    <w:p w14:paraId="2C9D21F7" w14:textId="77777777" w:rsidR="00EF15EF" w:rsidRDefault="00EF15EF" w:rsidP="007A23A5">
      <w:pPr>
        <w:rPr>
          <w:b/>
          <w:sz w:val="28"/>
        </w:rPr>
      </w:pPr>
    </w:p>
    <w:p w14:paraId="6F2E08EB" w14:textId="4671864B" w:rsidR="007A23A5" w:rsidRDefault="007A23A5" w:rsidP="007A23A5">
      <w:pPr>
        <w:spacing w:after="120"/>
        <w:jc w:val="center"/>
        <w:rPr>
          <w:b/>
          <w:sz w:val="28"/>
          <w:szCs w:val="28"/>
        </w:rPr>
      </w:pPr>
      <w:bookmarkStart w:id="1" w:name="_Hlk524439121"/>
      <w:r>
        <w:rPr>
          <w:b/>
          <w:sz w:val="28"/>
          <w:szCs w:val="28"/>
        </w:rPr>
        <w:t>Decision 10</w:t>
      </w:r>
    </w:p>
    <w:p w14:paraId="5419001A" w14:textId="0960914B" w:rsidR="007A23A5" w:rsidRDefault="007A23A5" w:rsidP="007A23A5">
      <w:pPr>
        <w:spacing w:after="120"/>
        <w:jc w:val="center"/>
        <w:rPr>
          <w:b/>
          <w:sz w:val="28"/>
          <w:szCs w:val="28"/>
        </w:rPr>
      </w:pPr>
      <w:r>
        <w:rPr>
          <w:b/>
          <w:sz w:val="28"/>
          <w:szCs w:val="28"/>
        </w:rPr>
        <w:t>Standardized Taxonomy for Migratory Waterbirds</w:t>
      </w:r>
    </w:p>
    <w:p w14:paraId="4B494829" w14:textId="6EE2292D" w:rsidR="007A23A5" w:rsidRPr="007A23A5" w:rsidRDefault="007A23A5" w:rsidP="007A23A5">
      <w:pPr>
        <w:spacing w:after="120"/>
        <w:rPr>
          <w:rFonts w:asciiTheme="minorHAnsi" w:hAnsiTheme="minorHAnsi"/>
          <w:i/>
        </w:rPr>
      </w:pPr>
      <w:r w:rsidRPr="007A23A5">
        <w:rPr>
          <w:rFonts w:asciiTheme="minorHAnsi" w:hAnsiTheme="minorHAnsi"/>
          <w:i/>
        </w:rPr>
        <w:t xml:space="preserve">Submitted by </w:t>
      </w:r>
      <w:r>
        <w:rPr>
          <w:rFonts w:asciiTheme="minorHAnsi" w:hAnsiTheme="minorHAnsi"/>
          <w:i/>
        </w:rPr>
        <w:t>the Australian Government</w:t>
      </w:r>
    </w:p>
    <w:bookmarkEnd w:id="1"/>
    <w:p w14:paraId="6D0510EB" w14:textId="77777777" w:rsidR="007A23A5" w:rsidRDefault="007A23A5" w:rsidP="007A23A5">
      <w:r>
        <w:rPr>
          <w:noProof/>
        </w:rPr>
        <mc:AlternateContent>
          <mc:Choice Requires="wps">
            <w:drawing>
              <wp:anchor distT="45720" distB="45720" distL="114300" distR="114300" simplePos="0" relativeHeight="251663360" behindDoc="0" locked="0" layoutInCell="1" allowOverlap="1" wp14:anchorId="2C1FA013" wp14:editId="2A0A8388">
                <wp:simplePos x="0" y="0"/>
                <wp:positionH relativeFrom="column">
                  <wp:posOffset>458470</wp:posOffset>
                </wp:positionH>
                <wp:positionV relativeFrom="paragraph">
                  <wp:posOffset>100965</wp:posOffset>
                </wp:positionV>
                <wp:extent cx="4876800" cy="1404620"/>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4620"/>
                        </a:xfrm>
                        <a:prstGeom prst="rect">
                          <a:avLst/>
                        </a:prstGeom>
                        <a:solidFill>
                          <a:srgbClr val="FFFFFF"/>
                        </a:solidFill>
                        <a:ln w="9525">
                          <a:solidFill>
                            <a:srgbClr val="000000"/>
                          </a:solidFill>
                          <a:miter lim="800000"/>
                          <a:headEnd/>
                          <a:tailEnd/>
                        </a:ln>
                      </wps:spPr>
                      <wps:txbx>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2B33A194" w14:textId="623CC0DD" w:rsidR="007A23A5" w:rsidRPr="007A23A5" w:rsidRDefault="007A23A5" w:rsidP="007A23A5">
                            <w:pPr>
                              <w:pStyle w:val="ListNumbe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spacing w:after="0" w:line="259" w:lineRule="auto"/>
                              <w:rPr>
                                <w:rFonts w:asciiTheme="minorHAnsi" w:hAnsiTheme="minorHAnsi"/>
                              </w:rPr>
                            </w:pPr>
                          </w:p>
                          <w:p w14:paraId="76CA77B7" w14:textId="0058C7A3"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spacing w:after="0" w:line="259" w:lineRule="auto"/>
                              <w:rPr>
                                <w:rFonts w:asciiTheme="minorHAnsi" w:hAnsiTheme="minorHAnsi"/>
                              </w:rPr>
                            </w:pPr>
                          </w:p>
                          <w:p w14:paraId="505F9639" w14:textId="4103B981"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spacing w:after="0" w:line="259" w:lineRule="auto"/>
                              <w:rPr>
                                <w:rFonts w:asciiTheme="minorHAnsi" w:hAnsiTheme="minorHAnsi"/>
                              </w:rPr>
                            </w:pPr>
                          </w:p>
                          <w:p w14:paraId="7E12F486" w14:textId="0F6FDF1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spacing w:after="0" w:line="259" w:lineRule="auto"/>
                              <w:rPr>
                                <w:rFonts w:asciiTheme="minorHAnsi" w:hAnsiTheme="minorHAnsi"/>
                              </w:rPr>
                            </w:pPr>
                          </w:p>
                          <w:p w14:paraId="2169EA26" w14:textId="6FFB02C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1FA013" id="_x0000_t202" coordsize="21600,21600" o:spt="202" path="m,l,21600r21600,l21600,xe">
                <v:stroke joinstyle="miter"/>
                <v:path gradientshapeok="t" o:connecttype="rect"/>
              </v:shapetype>
              <v:shape id="Text Box 2" o:spid="_x0000_s1026" type="#_x0000_t202" style="position:absolute;margin-left:36.1pt;margin-top:7.95pt;width:38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">
                <v:textbox style="mso-fit-shape-to-text:t">
                  <w:txbxContent>
                    <w:p w14:paraId="77A47BB9" w14:textId="0AE229CA" w:rsidR="007A23A5" w:rsidRPr="007A23A5" w:rsidRDefault="007A23A5" w:rsidP="007A23A5">
                      <w:pPr>
                        <w:spacing w:after="0" w:line="259" w:lineRule="auto"/>
                        <w:ind w:left="369" w:hanging="369"/>
                        <w:contextualSpacing/>
                        <w:jc w:val="center"/>
                        <w:rPr>
                          <w:rFonts w:asciiTheme="minorHAnsi" w:hAnsiTheme="minorHAnsi"/>
                          <w:b/>
                        </w:rPr>
                      </w:pPr>
                      <w:r w:rsidRPr="007A23A5">
                        <w:rPr>
                          <w:rFonts w:asciiTheme="minorHAnsi" w:hAnsiTheme="minorHAnsi"/>
                          <w:b/>
                        </w:rPr>
                        <w:t>Summary</w:t>
                      </w:r>
                    </w:p>
                    <w:p w14:paraId="2B33A194" w14:textId="623CC0DD" w:rsidR="007A23A5" w:rsidRPr="007A23A5" w:rsidRDefault="007A23A5" w:rsidP="007A23A5">
                      <w:pPr>
                        <w:pStyle w:val="ListNumber"/>
                        <w:spacing w:after="0" w:line="259" w:lineRule="auto"/>
                        <w:rPr>
                          <w:rFonts w:asciiTheme="minorHAnsi" w:hAnsiTheme="minorHAnsi"/>
                        </w:rPr>
                      </w:pPr>
                      <w:r>
                        <w:rPr>
                          <w:rFonts w:asciiTheme="minorHAnsi" w:hAnsiTheme="minorHAnsi"/>
                        </w:rPr>
                        <w:t>Partners at the 10</w:t>
                      </w:r>
                      <w:r w:rsidRPr="007A23A5">
                        <w:rPr>
                          <w:rFonts w:asciiTheme="minorHAnsi" w:hAnsiTheme="minorHAnsi"/>
                          <w:vertAlign w:val="superscript"/>
                        </w:rPr>
                        <w:t>th</w:t>
                      </w:r>
                      <w:r>
                        <w:rPr>
                          <w:rFonts w:asciiTheme="minorHAnsi" w:hAnsiTheme="minorHAnsi"/>
                        </w:rPr>
                        <w:t xml:space="preserve"> Meeting of the Partners are requested to adopt t</w:t>
                      </w:r>
                      <w:r w:rsidRPr="007A23A5">
                        <w:rPr>
                          <w:rFonts w:asciiTheme="minorHAnsi" w:hAnsiTheme="minorHAnsi"/>
                        </w:rPr>
                        <w:t xml:space="preserve">his </w:t>
                      </w:r>
                      <w:r>
                        <w:rPr>
                          <w:rFonts w:asciiTheme="minorHAnsi" w:hAnsiTheme="minorHAnsi"/>
                        </w:rPr>
                        <w:t xml:space="preserve">Decision that </w:t>
                      </w:r>
                      <w:r w:rsidRPr="007A23A5">
                        <w:rPr>
                          <w:rFonts w:asciiTheme="minorHAnsi" w:hAnsiTheme="minorHAnsi"/>
                        </w:rPr>
                        <w:t xml:space="preserve">seeks to adopt standardized taxonomy for migratory waterbirds for matters that relate to the East Asian – Australasian Flyway Partnership (EAAFP). </w:t>
                      </w:r>
                    </w:p>
                    <w:p w14:paraId="68EF57AF" w14:textId="77777777" w:rsidR="007A23A5" w:rsidRDefault="007A23A5" w:rsidP="007A23A5">
                      <w:pPr>
                        <w:pStyle w:val="ListNumber"/>
                        <w:spacing w:after="0" w:line="259" w:lineRule="auto"/>
                        <w:rPr>
                          <w:rFonts w:asciiTheme="minorHAnsi" w:hAnsiTheme="minorHAnsi"/>
                        </w:rPr>
                      </w:pPr>
                    </w:p>
                    <w:p w14:paraId="76CA77B7" w14:textId="0058C7A3"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It is proposed that Partners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46F0656D" w14:textId="77777777" w:rsidR="007A23A5" w:rsidRDefault="007A23A5" w:rsidP="007A23A5">
                      <w:pPr>
                        <w:pStyle w:val="ListNumber"/>
                        <w:spacing w:after="0" w:line="259" w:lineRule="auto"/>
                        <w:rPr>
                          <w:rFonts w:asciiTheme="minorHAnsi" w:hAnsiTheme="minorHAnsi"/>
                        </w:rPr>
                      </w:pPr>
                    </w:p>
                    <w:p w14:paraId="505F9639" w14:textId="4103B981"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Adopting a single taxonomy will strengthen global efforts to harmonize species lists between biodiversity-related multilateral environmental agreements and other frameworks.</w:t>
                      </w:r>
                    </w:p>
                    <w:p w14:paraId="51CE3CB0" w14:textId="77777777" w:rsidR="007A23A5" w:rsidRDefault="007A23A5" w:rsidP="007A23A5">
                      <w:pPr>
                        <w:pStyle w:val="ListNumber"/>
                        <w:spacing w:after="0" w:line="259" w:lineRule="auto"/>
                        <w:rPr>
                          <w:rFonts w:asciiTheme="minorHAnsi" w:hAnsiTheme="minorHAnsi"/>
                        </w:rPr>
                      </w:pPr>
                    </w:p>
                    <w:p w14:paraId="7E12F486" w14:textId="0F6FDF1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 xml:space="preserve">The harmonization of taxonomy can lead to a more integrated process, reduction of duplication and greater sharing of information between biodiversity-related multilateral environmental agreements and other frameworks. </w:t>
                      </w:r>
                    </w:p>
                    <w:p w14:paraId="0BA67A24" w14:textId="77777777" w:rsidR="007A23A5" w:rsidRDefault="007A23A5" w:rsidP="007A23A5">
                      <w:pPr>
                        <w:pStyle w:val="ListNumber"/>
                        <w:spacing w:after="0" w:line="259" w:lineRule="auto"/>
                        <w:rPr>
                          <w:rFonts w:asciiTheme="minorHAnsi" w:hAnsiTheme="minorHAnsi"/>
                        </w:rPr>
                      </w:pPr>
                    </w:p>
                    <w:p w14:paraId="2169EA26" w14:textId="6FFB02C7" w:rsidR="007A23A5" w:rsidRPr="007A23A5" w:rsidRDefault="007A23A5" w:rsidP="007A23A5">
                      <w:pPr>
                        <w:pStyle w:val="ListNumber"/>
                        <w:spacing w:after="0" w:line="259" w:lineRule="auto"/>
                        <w:rPr>
                          <w:rFonts w:asciiTheme="minorHAnsi" w:hAnsiTheme="minorHAnsi"/>
                        </w:rPr>
                      </w:pPr>
                      <w:r w:rsidRPr="007A23A5">
                        <w:rPr>
                          <w:rFonts w:asciiTheme="minorHAnsi" w:hAnsiTheme="minorHAnsi"/>
                        </w:rPr>
                        <w:t>This agenda item is consistent with UNEP/CMS/Resolution 11.9, adopted by the CMS Conference of the Parties at its 11</w:t>
                      </w:r>
                      <w:r w:rsidRPr="007A23A5">
                        <w:rPr>
                          <w:rFonts w:asciiTheme="minorHAnsi" w:hAnsiTheme="minorHAnsi"/>
                          <w:vertAlign w:val="superscript"/>
                        </w:rPr>
                        <w:t>th</w:t>
                      </w:r>
                      <w:r w:rsidRPr="007A23A5">
                        <w:rPr>
                          <w:rFonts w:asciiTheme="minorHAnsi" w:hAnsiTheme="minorHAnsi"/>
                        </w:rPr>
                        <w:t xml:space="preserve"> Meeting (Quito, 4-9 November 2014) and </w:t>
                      </w:r>
                      <w:r w:rsidRPr="007A23A5">
                        <w:rPr>
                          <w:rFonts w:asciiTheme="minorHAnsi" w:hAnsiTheme="minorHAnsi" w:cs="Arial"/>
                          <w:lang w:val="en-GB"/>
                        </w:rPr>
                        <w:t>UNEP/CMS/COP12/Doc.25.3 adopted by the 12</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(Manila, 23-28 October 2017) concerning the taxonomy and nomenclature of migratory bird species as well as Resolution 6.1 adopted by the 6</w:t>
                      </w:r>
                      <w:r w:rsidRPr="007A23A5">
                        <w:rPr>
                          <w:rFonts w:asciiTheme="minorHAnsi" w:hAnsiTheme="minorHAnsi" w:cs="Arial"/>
                          <w:vertAlign w:val="superscript"/>
                          <w:lang w:val="en-GB"/>
                        </w:rPr>
                        <w:t>th</w:t>
                      </w:r>
                      <w:r w:rsidRPr="007A23A5">
                        <w:rPr>
                          <w:rFonts w:asciiTheme="minorHAnsi" w:hAnsiTheme="minorHAnsi" w:cs="Arial"/>
                          <w:lang w:val="en-GB"/>
                        </w:rPr>
                        <w:t xml:space="preserve"> session of the Meeting of the Parties (Bonn, 9-14 November 2015) of the Agreement on the Conservation of African-Eurasian Migratory </w:t>
                      </w:r>
                      <w:proofErr w:type="spellStart"/>
                      <w:r w:rsidRPr="007A23A5">
                        <w:rPr>
                          <w:rFonts w:asciiTheme="minorHAnsi" w:hAnsiTheme="minorHAnsi" w:cs="Arial"/>
                          <w:lang w:val="en-GB"/>
                        </w:rPr>
                        <w:t>Waterbirds</w:t>
                      </w:r>
                      <w:proofErr w:type="spellEnd"/>
                      <w:r w:rsidRPr="007A23A5">
                        <w:rPr>
                          <w:rFonts w:asciiTheme="minorHAnsi" w:hAnsiTheme="minorHAnsi" w:cs="Arial"/>
                          <w:lang w:val="en-GB"/>
                        </w:rPr>
                        <w:t xml:space="preserve"> (AEWA), which, </w:t>
                      </w:r>
                      <w:r w:rsidRPr="007A23A5">
                        <w:rPr>
                          <w:rFonts w:asciiTheme="minorHAnsi" w:hAnsiTheme="minorHAnsi" w:cs="Arial"/>
                          <w:i/>
                          <w:lang w:val="en-GB"/>
                        </w:rPr>
                        <w:t>inter alia</w:t>
                      </w:r>
                      <w:r w:rsidRPr="007A23A5">
                        <w:rPr>
                          <w:rFonts w:asciiTheme="minorHAnsi" w:hAnsiTheme="minorHAnsi" w:cs="Arial"/>
                          <w:lang w:val="en-GB"/>
                        </w:rPr>
                        <w:t xml:space="preserve">, adopted a standard reference for </w:t>
                      </w:r>
                      <w:proofErr w:type="spellStart"/>
                      <w:r w:rsidRPr="007A23A5">
                        <w:rPr>
                          <w:rFonts w:asciiTheme="minorHAnsi" w:hAnsiTheme="minorHAnsi" w:cs="Arial"/>
                          <w:lang w:val="en-GB"/>
                        </w:rPr>
                        <w:t>waterbird</w:t>
                      </w:r>
                      <w:proofErr w:type="spellEnd"/>
                      <w:r w:rsidRPr="007A23A5">
                        <w:rPr>
                          <w:rFonts w:asciiTheme="minorHAnsi" w:hAnsiTheme="minorHAnsi" w:cs="Arial"/>
                          <w:lang w:val="en-GB"/>
                        </w:rPr>
                        <w:t xml:space="preserve"> taxonomy and nomenclature.</w:t>
                      </w:r>
                    </w:p>
                  </w:txbxContent>
                </v:textbox>
                <w10:wrap type="square"/>
              </v:shape>
            </w:pict>
          </mc:Fallback>
        </mc:AlternateContent>
      </w:r>
    </w:p>
    <w:p w14:paraId="6A3E3CB3" w14:textId="77777777" w:rsidR="007A23A5" w:rsidRDefault="007A23A5" w:rsidP="007A23A5"/>
    <w:p w14:paraId="0244F4E7" w14:textId="77777777" w:rsidR="007A23A5" w:rsidRDefault="007A23A5" w:rsidP="007A23A5"/>
    <w:p w14:paraId="3F4EE1B5" w14:textId="77777777" w:rsidR="007A23A5" w:rsidRDefault="007A23A5" w:rsidP="007A23A5"/>
    <w:p w14:paraId="392905B1" w14:textId="77777777" w:rsidR="007A23A5" w:rsidRDefault="007A23A5" w:rsidP="007A23A5"/>
    <w:p w14:paraId="33CE378A" w14:textId="77777777" w:rsidR="007A23A5" w:rsidRDefault="007A23A5" w:rsidP="007A23A5"/>
    <w:p w14:paraId="61A14226" w14:textId="77777777" w:rsidR="007A23A5" w:rsidRDefault="007A23A5" w:rsidP="007A23A5"/>
    <w:p w14:paraId="282236DA" w14:textId="77777777" w:rsidR="007A23A5" w:rsidRDefault="007A23A5" w:rsidP="007A23A5"/>
    <w:p w14:paraId="48E25209" w14:textId="77777777" w:rsidR="007A23A5" w:rsidRDefault="007A23A5" w:rsidP="007A23A5"/>
    <w:p w14:paraId="06AF27E0" w14:textId="77777777" w:rsidR="007A23A5" w:rsidRDefault="007A23A5" w:rsidP="007A23A5"/>
    <w:p w14:paraId="03EB92C6" w14:textId="77777777" w:rsidR="007A23A5" w:rsidRDefault="007A23A5" w:rsidP="007A23A5"/>
    <w:p w14:paraId="2F4F387B" w14:textId="77777777" w:rsidR="007A23A5" w:rsidRDefault="007A23A5" w:rsidP="007A23A5"/>
    <w:p w14:paraId="039C47A6" w14:textId="77777777" w:rsidR="007A23A5" w:rsidRDefault="007A23A5" w:rsidP="007A23A5"/>
    <w:p w14:paraId="3B1DEC31" w14:textId="77777777" w:rsidR="007A23A5" w:rsidRDefault="007A23A5" w:rsidP="007A23A5"/>
    <w:p w14:paraId="03E65C00" w14:textId="77777777" w:rsidR="007A23A5" w:rsidRDefault="007A23A5" w:rsidP="007A23A5"/>
    <w:p w14:paraId="1557F12B" w14:textId="77777777" w:rsidR="007A23A5" w:rsidRDefault="007A23A5" w:rsidP="007A23A5"/>
    <w:p w14:paraId="4AC6495A" w14:textId="77777777" w:rsidR="007A23A5" w:rsidRDefault="007A23A5" w:rsidP="007A23A5"/>
    <w:p w14:paraId="547E7EEA" w14:textId="33F8D9BD" w:rsidR="00EF15EF" w:rsidRPr="007A23A5" w:rsidRDefault="004C7C7C" w:rsidP="00BA230C">
      <w:pPr>
        <w:pStyle w:val="ListNumber"/>
        <w:numPr>
          <w:ilvl w:val="0"/>
          <w:numId w:val="5"/>
        </w:numPr>
        <w:rPr>
          <w:rFonts w:asciiTheme="minorHAnsi" w:hAnsiTheme="minorHAnsi"/>
        </w:rPr>
      </w:pPr>
      <w:r w:rsidRPr="007A23A5">
        <w:rPr>
          <w:rFonts w:asciiTheme="minorHAnsi" w:hAnsiTheme="minorHAnsi"/>
        </w:rPr>
        <w:t>The purpose of the Partnership is to provide a flyway wide framework to promote dialogue, cooperation and collaboration between a range of stakeholders including all levels of governments, site managers, multilateral environmental agreements, technical institutions, UN agencies, development agencies, industrial and private sector, academe, non-government organisations, community groups and local people to conserve migratory waterbirds and their habitats.</w:t>
      </w:r>
    </w:p>
    <w:p w14:paraId="367AFDAB" w14:textId="5EE3F0A2" w:rsidR="00572D7B" w:rsidRPr="007A23A5" w:rsidRDefault="004C7C7C" w:rsidP="00BA230C">
      <w:pPr>
        <w:pStyle w:val="ListNumber"/>
        <w:numPr>
          <w:ilvl w:val="0"/>
          <w:numId w:val="5"/>
        </w:numPr>
        <w:rPr>
          <w:rFonts w:asciiTheme="minorHAnsi" w:hAnsiTheme="minorHAnsi"/>
        </w:rPr>
      </w:pPr>
      <w:r w:rsidRPr="007A23A5">
        <w:rPr>
          <w:rFonts w:asciiTheme="minorHAnsi" w:hAnsiTheme="minorHAnsi"/>
        </w:rPr>
        <w:t>For</w:t>
      </w:r>
      <w:r w:rsidR="00E72A44" w:rsidRPr="007A23A5">
        <w:rPr>
          <w:rFonts w:asciiTheme="minorHAnsi" w:hAnsiTheme="minorHAnsi"/>
        </w:rPr>
        <w:t xml:space="preserve"> practical reasons this resolution</w:t>
      </w:r>
      <w:r w:rsidRPr="007A23A5">
        <w:rPr>
          <w:rFonts w:asciiTheme="minorHAnsi" w:hAnsiTheme="minorHAnsi"/>
        </w:rPr>
        <w:t xml:space="preserve"> pro</w:t>
      </w:r>
      <w:r w:rsidR="00020E9F" w:rsidRPr="007A23A5">
        <w:rPr>
          <w:rFonts w:asciiTheme="minorHAnsi" w:hAnsiTheme="minorHAnsi"/>
        </w:rPr>
        <w:t>poses the adoption of standardiz</w:t>
      </w:r>
      <w:r w:rsidRPr="007A23A5">
        <w:rPr>
          <w:rFonts w:asciiTheme="minorHAnsi" w:hAnsiTheme="minorHAnsi"/>
        </w:rPr>
        <w:t>ed taxonomy</w:t>
      </w:r>
      <w:r w:rsidR="003E4B47" w:rsidRPr="007A23A5">
        <w:rPr>
          <w:rFonts w:asciiTheme="minorHAnsi" w:hAnsiTheme="minorHAnsi"/>
        </w:rPr>
        <w:t xml:space="preserve"> and nomenclature</w:t>
      </w:r>
      <w:r w:rsidR="00572D7B" w:rsidRPr="007A23A5">
        <w:rPr>
          <w:rFonts w:asciiTheme="minorHAnsi" w:hAnsiTheme="minorHAnsi"/>
        </w:rPr>
        <w:t xml:space="preserve"> to ensure consistency</w:t>
      </w:r>
      <w:r w:rsidR="003E4B47" w:rsidRPr="007A23A5">
        <w:rPr>
          <w:rFonts w:asciiTheme="minorHAnsi" w:hAnsiTheme="minorHAnsi"/>
        </w:rPr>
        <w:t xml:space="preserve"> within</w:t>
      </w:r>
      <w:r w:rsidR="00572D7B" w:rsidRPr="007A23A5">
        <w:rPr>
          <w:rFonts w:asciiTheme="minorHAnsi" w:hAnsiTheme="minorHAnsi"/>
        </w:rPr>
        <w:t xml:space="preserve"> the East Asian – Australasian Flyway </w:t>
      </w:r>
      <w:r w:rsidR="003E4B47" w:rsidRPr="007A23A5">
        <w:rPr>
          <w:rFonts w:asciiTheme="minorHAnsi" w:hAnsiTheme="minorHAnsi"/>
        </w:rPr>
        <w:t xml:space="preserve">Partnership </w:t>
      </w:r>
      <w:r w:rsidR="00020E9F" w:rsidRPr="007A23A5">
        <w:rPr>
          <w:rFonts w:asciiTheme="minorHAnsi" w:hAnsiTheme="minorHAnsi"/>
        </w:rPr>
        <w:t>and to work towards the harmoniz</w:t>
      </w:r>
      <w:r w:rsidR="00572D7B" w:rsidRPr="007A23A5">
        <w:rPr>
          <w:rFonts w:asciiTheme="minorHAnsi" w:hAnsiTheme="minorHAnsi"/>
        </w:rPr>
        <w:t>ation of species taxonomy between biodiversity-related multilateral environment agreements and other frameworks.</w:t>
      </w:r>
    </w:p>
    <w:p w14:paraId="3C773443" w14:textId="77777777" w:rsidR="00572D7B" w:rsidRPr="007A23A5" w:rsidRDefault="00572D7B" w:rsidP="00BA230C">
      <w:pPr>
        <w:pStyle w:val="ListNumber"/>
        <w:numPr>
          <w:ilvl w:val="0"/>
          <w:numId w:val="5"/>
        </w:numPr>
        <w:rPr>
          <w:rFonts w:asciiTheme="minorHAnsi" w:hAnsiTheme="minorHAnsi"/>
        </w:rPr>
      </w:pPr>
      <w:r w:rsidRPr="007A23A5">
        <w:rPr>
          <w:rFonts w:asciiTheme="minorHAnsi" w:hAnsiTheme="minorHAnsi"/>
        </w:rPr>
        <w:lastRenderedPageBreak/>
        <w:t>The harmonization of taxonomy can lead to a more integrated process, reduction of duplication and greater sharing of information between biodiversity-related multilateral environmental agreements and other frameworks.</w:t>
      </w:r>
    </w:p>
    <w:p w14:paraId="67DCC035" w14:textId="4D687D84" w:rsidR="006F0B05" w:rsidRPr="007A23A5" w:rsidRDefault="006F0B05" w:rsidP="00BA230C">
      <w:pPr>
        <w:pStyle w:val="ListNumber"/>
        <w:numPr>
          <w:ilvl w:val="0"/>
          <w:numId w:val="5"/>
        </w:numPr>
        <w:rPr>
          <w:rFonts w:asciiTheme="minorHAnsi" w:hAnsiTheme="minorHAnsi"/>
        </w:rPr>
      </w:pPr>
      <w:r w:rsidRPr="007A23A5">
        <w:rPr>
          <w:rFonts w:asciiTheme="minorHAnsi" w:hAnsiTheme="minorHAnsi"/>
        </w:rPr>
        <w:t>As such, this proposal seek</w:t>
      </w:r>
      <w:r w:rsidR="003E4B47" w:rsidRPr="007A23A5">
        <w:rPr>
          <w:rFonts w:asciiTheme="minorHAnsi" w:hAnsiTheme="minorHAnsi"/>
        </w:rPr>
        <w:t>s the</w:t>
      </w:r>
      <w:r w:rsidRPr="007A23A5">
        <w:rPr>
          <w:rFonts w:asciiTheme="minorHAnsi" w:hAnsiTheme="minorHAnsi"/>
        </w:rPr>
        <w:t xml:space="preserve"> agreement from Partners to adopt the </w:t>
      </w:r>
      <w:r w:rsidRPr="007A23A5">
        <w:rPr>
          <w:rFonts w:asciiTheme="minorHAnsi" w:hAnsiTheme="minorHAnsi"/>
          <w:i/>
        </w:rPr>
        <w:t>Handbook of the Birds of the World/</w:t>
      </w:r>
      <w:proofErr w:type="spellStart"/>
      <w:r w:rsidRPr="007A23A5">
        <w:rPr>
          <w:rFonts w:asciiTheme="minorHAnsi" w:hAnsiTheme="minorHAnsi"/>
          <w:i/>
        </w:rPr>
        <w:t>BirdLife</w:t>
      </w:r>
      <w:proofErr w:type="spellEnd"/>
      <w:r w:rsidRPr="007A23A5">
        <w:rPr>
          <w:rFonts w:asciiTheme="minorHAnsi" w:hAnsiTheme="minorHAnsi"/>
          <w:i/>
        </w:rPr>
        <w:t xml:space="preserve"> International Illustrated Checklist of the Birds of the World, Volume 1: Non-passerines, by </w:t>
      </w:r>
      <w:proofErr w:type="spellStart"/>
      <w:r w:rsidRPr="007A23A5">
        <w:rPr>
          <w:rFonts w:asciiTheme="minorHAnsi" w:hAnsiTheme="minorHAnsi"/>
          <w:i/>
        </w:rPr>
        <w:t>Josep</w:t>
      </w:r>
      <w:proofErr w:type="spellEnd"/>
      <w:r w:rsidRPr="007A23A5">
        <w:rPr>
          <w:rFonts w:asciiTheme="minorHAnsi" w:hAnsiTheme="minorHAnsi"/>
          <w:i/>
        </w:rPr>
        <w:t xml:space="preserve"> del </w:t>
      </w:r>
      <w:proofErr w:type="spellStart"/>
      <w:r w:rsidRPr="007A23A5">
        <w:rPr>
          <w:rFonts w:asciiTheme="minorHAnsi" w:hAnsiTheme="minorHAnsi"/>
          <w:i/>
        </w:rPr>
        <w:t>Hoyo</w:t>
      </w:r>
      <w:proofErr w:type="spellEnd"/>
      <w:r w:rsidRPr="007A23A5">
        <w:rPr>
          <w:rFonts w:asciiTheme="minorHAnsi" w:hAnsiTheme="minorHAnsi"/>
          <w:i/>
        </w:rPr>
        <w:t xml:space="preserve">, Nigel J. Collar, David A. Christie, Andrew Elliot and Lincoln D.C. </w:t>
      </w:r>
      <w:proofErr w:type="spellStart"/>
      <w:r w:rsidRPr="007A23A5">
        <w:rPr>
          <w:rFonts w:asciiTheme="minorHAnsi" w:hAnsiTheme="minorHAnsi"/>
          <w:i/>
        </w:rPr>
        <w:t>Fishpool</w:t>
      </w:r>
      <w:proofErr w:type="spellEnd"/>
      <w:r w:rsidRPr="007A23A5">
        <w:rPr>
          <w:rFonts w:asciiTheme="minorHAnsi" w:hAnsiTheme="minorHAnsi"/>
          <w:i/>
        </w:rPr>
        <w:t xml:space="preserve"> (2014)</w:t>
      </w:r>
      <w:r w:rsidRPr="007A23A5">
        <w:rPr>
          <w:rFonts w:asciiTheme="minorHAnsi" w:hAnsiTheme="minorHAnsi"/>
        </w:rPr>
        <w:t>.</w:t>
      </w:r>
    </w:p>
    <w:p w14:paraId="7978E457" w14:textId="37294B83" w:rsidR="00C93D14" w:rsidRPr="007A23A5" w:rsidRDefault="006F0B05" w:rsidP="00BA230C">
      <w:pPr>
        <w:pStyle w:val="ListNumber"/>
        <w:numPr>
          <w:ilvl w:val="0"/>
          <w:numId w:val="5"/>
        </w:numPr>
        <w:rPr>
          <w:rFonts w:asciiTheme="minorHAnsi" w:hAnsiTheme="minorHAnsi"/>
        </w:rPr>
      </w:pPr>
      <w:r w:rsidRPr="007A23A5">
        <w:rPr>
          <w:rFonts w:asciiTheme="minorHAnsi" w:hAnsiTheme="minorHAnsi"/>
        </w:rPr>
        <w:t xml:space="preserve">By adopting this proposal it </w:t>
      </w:r>
      <w:r w:rsidR="003E4B47" w:rsidRPr="007A23A5">
        <w:rPr>
          <w:rFonts w:asciiTheme="minorHAnsi" w:hAnsiTheme="minorHAnsi"/>
        </w:rPr>
        <w:t xml:space="preserve">will </w:t>
      </w:r>
      <w:r w:rsidR="00020E9F" w:rsidRPr="007A23A5">
        <w:rPr>
          <w:rFonts w:asciiTheme="minorHAnsi" w:hAnsiTheme="minorHAnsi"/>
        </w:rPr>
        <w:t>enhance the harmoniz</w:t>
      </w:r>
      <w:r w:rsidRPr="007A23A5">
        <w:rPr>
          <w:rFonts w:asciiTheme="minorHAnsi" w:hAnsiTheme="minorHAnsi"/>
        </w:rPr>
        <w:t xml:space="preserve">ation of taxonomy </w:t>
      </w:r>
      <w:r w:rsidR="003E4B47" w:rsidRPr="007A23A5">
        <w:rPr>
          <w:rFonts w:asciiTheme="minorHAnsi" w:hAnsiTheme="minorHAnsi"/>
        </w:rPr>
        <w:t xml:space="preserve">and nomenclature between global efforts between biodiversity related frameworks </w:t>
      </w:r>
      <w:r w:rsidRPr="007A23A5">
        <w:rPr>
          <w:rFonts w:asciiTheme="minorHAnsi" w:hAnsiTheme="minorHAnsi"/>
        </w:rPr>
        <w:t>and</w:t>
      </w:r>
      <w:r w:rsidR="00447ECF" w:rsidRPr="007A23A5">
        <w:rPr>
          <w:rFonts w:asciiTheme="minorHAnsi" w:hAnsiTheme="minorHAnsi"/>
        </w:rPr>
        <w:t xml:space="preserve"> </w:t>
      </w:r>
      <w:r w:rsidR="00512A75" w:rsidRPr="007A23A5">
        <w:rPr>
          <w:rFonts w:asciiTheme="minorHAnsi" w:hAnsiTheme="minorHAnsi"/>
        </w:rPr>
        <w:t xml:space="preserve">be consistent with UNEP/CMS/Resolution 11.9, adopted by the </w:t>
      </w:r>
      <w:r w:rsidRPr="007A23A5">
        <w:rPr>
          <w:rFonts w:asciiTheme="minorHAnsi" w:hAnsiTheme="minorHAnsi"/>
        </w:rPr>
        <w:t xml:space="preserve">CMS </w:t>
      </w:r>
      <w:r w:rsidR="00512A75" w:rsidRPr="007A23A5">
        <w:rPr>
          <w:rFonts w:asciiTheme="minorHAnsi" w:hAnsiTheme="minorHAnsi"/>
        </w:rPr>
        <w:t>Conference of the Parties at its 11</w:t>
      </w:r>
      <w:r w:rsidR="00512A75" w:rsidRPr="007A23A5">
        <w:rPr>
          <w:rFonts w:asciiTheme="minorHAnsi" w:hAnsiTheme="minorHAnsi"/>
          <w:vertAlign w:val="superscript"/>
        </w:rPr>
        <w:t>th</w:t>
      </w:r>
      <w:r w:rsidR="00512A75" w:rsidRPr="007A23A5">
        <w:rPr>
          <w:rFonts w:asciiTheme="minorHAnsi" w:hAnsiTheme="minorHAnsi"/>
        </w:rPr>
        <w:t xml:space="preserve"> Meeting (Quito, 4-9 November 2014) and </w:t>
      </w:r>
      <w:r w:rsidR="00512A75" w:rsidRPr="007A23A5">
        <w:rPr>
          <w:rFonts w:asciiTheme="minorHAnsi" w:hAnsiTheme="minorHAnsi" w:cs="Arial"/>
          <w:lang w:val="en-GB"/>
        </w:rPr>
        <w:t xml:space="preserve">UNEP/CMS/COP12/Doc.25.3 </w:t>
      </w:r>
      <w:r w:rsidRPr="007A23A5">
        <w:rPr>
          <w:rFonts w:asciiTheme="minorHAnsi" w:hAnsiTheme="minorHAnsi" w:cs="Arial"/>
          <w:lang w:val="en-GB"/>
        </w:rPr>
        <w:t xml:space="preserve">(Manila, 23-28 October 2017) </w:t>
      </w:r>
      <w:r w:rsidR="00512A75" w:rsidRPr="007A23A5">
        <w:rPr>
          <w:rFonts w:asciiTheme="minorHAnsi" w:hAnsiTheme="minorHAnsi" w:cs="Arial"/>
          <w:lang w:val="en-GB"/>
        </w:rPr>
        <w:t xml:space="preserve">concerning the taxonomy and nomenclature of migratory </w:t>
      </w:r>
      <w:proofErr w:type="spellStart"/>
      <w:r w:rsidR="00E72A44" w:rsidRPr="007A23A5">
        <w:rPr>
          <w:rFonts w:asciiTheme="minorHAnsi" w:hAnsiTheme="minorHAnsi" w:cs="Arial"/>
          <w:lang w:val="en-GB"/>
        </w:rPr>
        <w:t>water</w:t>
      </w:r>
      <w:r w:rsidRPr="007A23A5">
        <w:rPr>
          <w:rFonts w:asciiTheme="minorHAnsi" w:hAnsiTheme="minorHAnsi" w:cs="Arial"/>
          <w:lang w:val="en-GB"/>
        </w:rPr>
        <w:t>bird</w:t>
      </w:r>
      <w:proofErr w:type="spellEnd"/>
      <w:r w:rsidRPr="007A23A5">
        <w:rPr>
          <w:rFonts w:asciiTheme="minorHAnsi" w:hAnsiTheme="minorHAnsi" w:cs="Arial"/>
          <w:lang w:val="en-GB"/>
        </w:rPr>
        <w:t xml:space="preserve"> species</w:t>
      </w:r>
      <w:r w:rsidR="00A33D93" w:rsidRPr="007A23A5">
        <w:rPr>
          <w:rFonts w:asciiTheme="minorHAnsi" w:hAnsiTheme="minorHAnsi" w:cs="Arial"/>
          <w:lang w:val="en-GB"/>
        </w:rPr>
        <w:t xml:space="preserve"> as well as Resolution 6.1 adopted by the 6</w:t>
      </w:r>
      <w:r w:rsidR="00A33D93" w:rsidRPr="007A23A5">
        <w:rPr>
          <w:rFonts w:asciiTheme="minorHAnsi" w:hAnsiTheme="minorHAnsi" w:cs="Arial"/>
          <w:vertAlign w:val="superscript"/>
          <w:lang w:val="en-GB"/>
        </w:rPr>
        <w:t>th</w:t>
      </w:r>
      <w:r w:rsidR="00A33D93" w:rsidRPr="007A23A5">
        <w:rPr>
          <w:rFonts w:asciiTheme="minorHAnsi" w:hAnsiTheme="minorHAnsi" w:cs="Arial"/>
          <w:lang w:val="en-GB"/>
        </w:rPr>
        <w:t xml:space="preserve"> session of the Meeting of the Parties (Bonn, 9-14 November 2015) of the Agreement on the Conservation of African-Eurasian</w:t>
      </w:r>
      <w:bookmarkStart w:id="2" w:name="_GoBack"/>
      <w:bookmarkEnd w:id="2"/>
      <w:r w:rsidR="00A33D93" w:rsidRPr="007A23A5">
        <w:rPr>
          <w:rFonts w:asciiTheme="minorHAnsi" w:hAnsiTheme="minorHAnsi" w:cs="Arial"/>
          <w:lang w:val="en-GB"/>
        </w:rPr>
        <w:t xml:space="preserve"> Migratory </w:t>
      </w:r>
      <w:proofErr w:type="spellStart"/>
      <w:r w:rsidR="00A33D93" w:rsidRPr="007A23A5">
        <w:rPr>
          <w:rFonts w:asciiTheme="minorHAnsi" w:hAnsiTheme="minorHAnsi" w:cs="Arial"/>
          <w:lang w:val="en-GB"/>
        </w:rPr>
        <w:t>Waterbirds</w:t>
      </w:r>
      <w:proofErr w:type="spellEnd"/>
      <w:r w:rsidR="00A33D93" w:rsidRPr="007A23A5">
        <w:rPr>
          <w:rFonts w:asciiTheme="minorHAnsi" w:hAnsiTheme="minorHAnsi" w:cs="Arial"/>
          <w:lang w:val="en-GB"/>
        </w:rPr>
        <w:t xml:space="preserve"> (AEWA), which, </w:t>
      </w:r>
      <w:r w:rsidR="00A33D93" w:rsidRPr="007A23A5">
        <w:rPr>
          <w:rFonts w:asciiTheme="minorHAnsi" w:hAnsiTheme="minorHAnsi" w:cs="Arial"/>
          <w:i/>
          <w:lang w:val="en-GB"/>
        </w:rPr>
        <w:t>inter alia</w:t>
      </w:r>
      <w:r w:rsidR="00A33D93" w:rsidRPr="007A23A5">
        <w:rPr>
          <w:rFonts w:asciiTheme="minorHAnsi" w:hAnsiTheme="minorHAnsi" w:cs="Arial"/>
          <w:lang w:val="en-GB"/>
        </w:rPr>
        <w:t xml:space="preserve">, adopted a standard reference for </w:t>
      </w:r>
      <w:proofErr w:type="spellStart"/>
      <w:r w:rsidR="00A33D93" w:rsidRPr="007A23A5">
        <w:rPr>
          <w:rFonts w:asciiTheme="minorHAnsi" w:hAnsiTheme="minorHAnsi" w:cs="Arial"/>
          <w:lang w:val="en-GB"/>
        </w:rPr>
        <w:t>waterbird</w:t>
      </w:r>
      <w:proofErr w:type="spellEnd"/>
      <w:r w:rsidR="00A33D93" w:rsidRPr="007A23A5">
        <w:rPr>
          <w:rFonts w:asciiTheme="minorHAnsi" w:hAnsiTheme="minorHAnsi" w:cs="Arial"/>
          <w:lang w:val="en-GB"/>
        </w:rPr>
        <w:t xml:space="preserve"> taxonomy and nomenclature.</w:t>
      </w:r>
      <w:r w:rsidR="00512A75" w:rsidRPr="007A23A5">
        <w:rPr>
          <w:rFonts w:asciiTheme="minorHAnsi" w:hAnsiTheme="minorHAnsi"/>
        </w:rPr>
        <w:t xml:space="preserve"> </w:t>
      </w:r>
    </w:p>
    <w:p w14:paraId="6A5B958B" w14:textId="1783FBDD" w:rsidR="004C7C7C" w:rsidRPr="007A23A5" w:rsidRDefault="00C93D14" w:rsidP="00BA230C">
      <w:pPr>
        <w:pStyle w:val="ListNumber"/>
        <w:numPr>
          <w:ilvl w:val="0"/>
          <w:numId w:val="5"/>
        </w:numPr>
        <w:rPr>
          <w:rFonts w:asciiTheme="minorHAnsi" w:hAnsiTheme="minorHAnsi"/>
        </w:rPr>
      </w:pPr>
      <w:r w:rsidRPr="007A23A5">
        <w:rPr>
          <w:rFonts w:asciiTheme="minorHAnsi" w:hAnsiTheme="minorHAnsi"/>
        </w:rPr>
        <w:t>Consultation with Partners and the Secretariat occurred between 3 April and 25 May 2018. No comments were received.</w:t>
      </w:r>
      <w:r w:rsidR="004C7C7C" w:rsidRPr="007A23A5">
        <w:rPr>
          <w:rFonts w:asciiTheme="minorHAnsi" w:hAnsiTheme="minorHAnsi"/>
        </w:rPr>
        <w:t xml:space="preserve"> </w:t>
      </w:r>
      <w:r w:rsidR="00A33D93" w:rsidRPr="007A23A5">
        <w:rPr>
          <w:rFonts w:asciiTheme="minorHAnsi" w:hAnsiTheme="minorHAnsi"/>
        </w:rPr>
        <w:t xml:space="preserve">Comments from the interim EAAFP Technical </w:t>
      </w:r>
      <w:r w:rsidR="00654971">
        <w:rPr>
          <w:rFonts w:asciiTheme="minorHAnsi" w:hAnsiTheme="minorHAnsi"/>
        </w:rPr>
        <w:t>Sub-</w:t>
      </w:r>
      <w:r w:rsidR="00A33D93" w:rsidRPr="007A23A5">
        <w:rPr>
          <w:rFonts w:asciiTheme="minorHAnsi" w:hAnsiTheme="minorHAnsi"/>
        </w:rPr>
        <w:t xml:space="preserve">Committee were received on 19 August 2018 and were incorporated into the draft resolution. </w:t>
      </w:r>
    </w:p>
    <w:p w14:paraId="3175D77D" w14:textId="4F4AA7C4" w:rsidR="00EF15EF" w:rsidRPr="007A23A5" w:rsidRDefault="007A23A5" w:rsidP="00EF15EF">
      <w:pPr>
        <w:pStyle w:val="ListNumber"/>
        <w:rPr>
          <w:rFonts w:asciiTheme="minorHAnsi" w:hAnsiTheme="minorHAnsi"/>
          <w:b/>
        </w:rPr>
      </w:pPr>
      <w:r w:rsidRPr="007A23A5">
        <w:rPr>
          <w:rFonts w:asciiTheme="minorHAnsi" w:hAnsiTheme="minorHAnsi"/>
          <w:b/>
        </w:rPr>
        <w:t>Decision</w:t>
      </w:r>
      <w:r w:rsidR="00EF15EF" w:rsidRPr="007A23A5">
        <w:rPr>
          <w:rFonts w:asciiTheme="minorHAnsi" w:hAnsiTheme="minorHAnsi"/>
          <w:b/>
        </w:rPr>
        <w:t>:</w:t>
      </w:r>
    </w:p>
    <w:p w14:paraId="357E4EC6" w14:textId="77777777" w:rsidR="007A23A5" w:rsidRDefault="007A23A5" w:rsidP="007A23A5">
      <w:pPr>
        <w:pStyle w:val="ListBullet"/>
        <w:numPr>
          <w:ilvl w:val="0"/>
          <w:numId w:val="0"/>
        </w:numPr>
        <w:spacing w:after="0" w:line="259" w:lineRule="auto"/>
        <w:ind w:left="369" w:hanging="369"/>
        <w:rPr>
          <w:rFonts w:asciiTheme="minorHAnsi" w:hAnsiTheme="minorHAnsi" w:cstheme="minorHAnsi"/>
        </w:rPr>
      </w:pPr>
      <w:r>
        <w:rPr>
          <w:rFonts w:asciiTheme="minorHAnsi" w:hAnsiTheme="minorHAnsi" w:cstheme="minorHAnsi"/>
        </w:rPr>
        <w:t>Partners at the 10</w:t>
      </w:r>
      <w:r w:rsidRPr="0023235F">
        <w:rPr>
          <w:rFonts w:asciiTheme="minorHAnsi" w:hAnsiTheme="minorHAnsi" w:cstheme="minorHAnsi"/>
          <w:vertAlign w:val="superscript"/>
        </w:rPr>
        <w:t>th</w:t>
      </w:r>
      <w:r>
        <w:rPr>
          <w:rFonts w:asciiTheme="minorHAnsi" w:hAnsiTheme="minorHAnsi" w:cstheme="minorHAnsi"/>
        </w:rPr>
        <w:t xml:space="preserve"> Meeting of the Partners are requested to a</w:t>
      </w:r>
      <w:r w:rsidRPr="0023235F">
        <w:rPr>
          <w:rFonts w:asciiTheme="minorHAnsi" w:hAnsiTheme="minorHAnsi" w:cstheme="minorHAnsi"/>
        </w:rPr>
        <w:t xml:space="preserve">dopt the </w:t>
      </w:r>
      <w:r>
        <w:rPr>
          <w:rFonts w:asciiTheme="minorHAnsi" w:hAnsiTheme="minorHAnsi" w:cstheme="minorHAnsi"/>
        </w:rPr>
        <w:t>Draft Decision (Annex 1).</w:t>
      </w:r>
    </w:p>
    <w:p w14:paraId="644774E9" w14:textId="77777777" w:rsidR="00EF15EF" w:rsidRPr="007A23A5" w:rsidRDefault="00EF15EF">
      <w:pPr>
        <w:spacing w:after="0" w:line="240" w:lineRule="auto"/>
        <w:rPr>
          <w:rFonts w:asciiTheme="minorHAnsi" w:hAnsiTheme="minorHAnsi"/>
        </w:rPr>
      </w:pPr>
      <w:r w:rsidRPr="007A23A5">
        <w:rPr>
          <w:rFonts w:asciiTheme="minorHAnsi" w:hAnsiTheme="minorHAnsi"/>
        </w:rPr>
        <w:br w:type="page"/>
      </w:r>
    </w:p>
    <w:p w14:paraId="2C4DD7C7" w14:textId="7F56B171" w:rsidR="007A23A5" w:rsidRDefault="007A23A5" w:rsidP="007A23A5">
      <w:pPr>
        <w:spacing w:after="120" w:line="259" w:lineRule="auto"/>
        <w:jc w:val="center"/>
        <w:rPr>
          <w:rFonts w:asciiTheme="minorHAnsi" w:hAnsiTheme="minorHAnsi"/>
          <w:b/>
          <w:sz w:val="28"/>
          <w:szCs w:val="28"/>
        </w:rPr>
      </w:pPr>
      <w:r>
        <w:rPr>
          <w:rFonts w:asciiTheme="minorHAnsi" w:hAnsiTheme="minorHAnsi"/>
          <w:b/>
          <w:sz w:val="28"/>
          <w:szCs w:val="28"/>
        </w:rPr>
        <w:lastRenderedPageBreak/>
        <w:t>Annex 1</w:t>
      </w:r>
    </w:p>
    <w:p w14:paraId="7BCD81D6" w14:textId="0A364851"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Decision 10</w:t>
      </w:r>
    </w:p>
    <w:p w14:paraId="15FAE85B" w14:textId="77777777" w:rsidR="007A23A5" w:rsidRPr="007A23A5" w:rsidRDefault="007A23A5" w:rsidP="007A23A5">
      <w:pPr>
        <w:spacing w:after="120" w:line="259" w:lineRule="auto"/>
        <w:jc w:val="center"/>
        <w:rPr>
          <w:rFonts w:asciiTheme="minorHAnsi" w:hAnsiTheme="minorHAnsi"/>
          <w:b/>
          <w:sz w:val="28"/>
          <w:szCs w:val="28"/>
        </w:rPr>
      </w:pPr>
      <w:r w:rsidRPr="007A23A5">
        <w:rPr>
          <w:rFonts w:asciiTheme="minorHAnsi" w:hAnsiTheme="minorHAnsi"/>
          <w:b/>
          <w:sz w:val="28"/>
          <w:szCs w:val="28"/>
        </w:rPr>
        <w:t>Standardized Taxonomy for Migratory Waterbirds</w:t>
      </w:r>
    </w:p>
    <w:p w14:paraId="55B0970A" w14:textId="77777777" w:rsidR="007A23A5" w:rsidRPr="007A23A5" w:rsidRDefault="007A23A5" w:rsidP="007A23A5">
      <w:pPr>
        <w:spacing w:after="120"/>
        <w:rPr>
          <w:rFonts w:asciiTheme="minorHAnsi" w:hAnsiTheme="minorHAnsi"/>
          <w:i/>
        </w:rPr>
      </w:pPr>
      <w:r w:rsidRPr="007A23A5">
        <w:rPr>
          <w:rFonts w:asciiTheme="minorHAnsi" w:hAnsiTheme="minorHAnsi"/>
          <w:i/>
        </w:rPr>
        <w:t>Submitted by the Australian Government</w:t>
      </w:r>
    </w:p>
    <w:p w14:paraId="11005346" w14:textId="77777777" w:rsidR="00EF15EF" w:rsidRDefault="00EF15EF" w:rsidP="007A23A5">
      <w:pPr>
        <w:spacing w:after="0" w:line="259" w:lineRule="auto"/>
        <w:jc w:val="center"/>
      </w:pPr>
    </w:p>
    <w:p w14:paraId="54877068" w14:textId="77777777" w:rsidR="00EF15EF" w:rsidRPr="007A23A5" w:rsidRDefault="00EF15EF" w:rsidP="007A23A5">
      <w:pPr>
        <w:spacing w:after="0" w:line="259" w:lineRule="auto"/>
        <w:jc w:val="center"/>
        <w:rPr>
          <w:rFonts w:asciiTheme="minorHAnsi" w:hAnsiTheme="minorHAnsi"/>
        </w:rPr>
      </w:pPr>
    </w:p>
    <w:p w14:paraId="4584CAB7" w14:textId="66261823" w:rsidR="00572D7B" w:rsidRDefault="00572D7B" w:rsidP="007A23A5">
      <w:pPr>
        <w:spacing w:after="0" w:line="259" w:lineRule="auto"/>
        <w:jc w:val="both"/>
        <w:rPr>
          <w:rFonts w:asciiTheme="minorHAnsi" w:hAnsiTheme="minorHAnsi" w:cs="Arial"/>
          <w:lang w:val="en-GB"/>
        </w:rPr>
      </w:pPr>
      <w:r w:rsidRPr="007A23A5">
        <w:rPr>
          <w:rFonts w:asciiTheme="minorHAnsi" w:hAnsiTheme="minorHAnsi" w:cs="Arial"/>
          <w:i/>
          <w:lang w:val="en-GB"/>
        </w:rPr>
        <w:t>Noting</w:t>
      </w:r>
      <w:r w:rsidRPr="007A23A5">
        <w:rPr>
          <w:rFonts w:asciiTheme="minorHAnsi" w:hAnsiTheme="minorHAnsi" w:cs="Arial"/>
          <w:lang w:val="en-GB"/>
        </w:rPr>
        <w:t xml:space="preserve"> that biological taxono</w:t>
      </w:r>
      <w:r w:rsidR="00AD0822" w:rsidRPr="007A23A5">
        <w:rPr>
          <w:rFonts w:asciiTheme="minorHAnsi" w:hAnsiTheme="minorHAnsi" w:cs="Arial"/>
          <w:lang w:val="en-GB"/>
        </w:rPr>
        <w:t>my and nomenclature are dynamic,</w:t>
      </w:r>
    </w:p>
    <w:p w14:paraId="5E78F5CB" w14:textId="77777777" w:rsidR="007A23A5" w:rsidRPr="007A23A5" w:rsidRDefault="007A23A5" w:rsidP="007A23A5">
      <w:pPr>
        <w:spacing w:after="0" w:line="259" w:lineRule="auto"/>
        <w:jc w:val="both"/>
        <w:rPr>
          <w:rFonts w:asciiTheme="minorHAnsi" w:hAnsiTheme="minorHAnsi" w:cs="Arial"/>
          <w:lang w:val="en-GB"/>
        </w:rPr>
      </w:pPr>
    </w:p>
    <w:p w14:paraId="4663B065" w14:textId="4B221B83"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Aware </w:t>
      </w:r>
      <w:r w:rsidRPr="007A23A5">
        <w:rPr>
          <w:rFonts w:asciiTheme="minorHAnsi" w:hAnsiTheme="minorHAnsi" w:cs="Arial"/>
          <w:iCs/>
          <w:lang w:val="en-GB"/>
        </w:rPr>
        <w:t xml:space="preserve">that </w:t>
      </w:r>
      <w:r w:rsidRPr="007A23A5">
        <w:rPr>
          <w:rFonts w:asciiTheme="minorHAnsi" w:hAnsiTheme="minorHAnsi" w:cs="Arial"/>
          <w:lang w:val="en-GB"/>
        </w:rPr>
        <w:t>international efforts to take coherent action to conserve and sustainably use biodiversity at the species level can be significantly hampered if there is no common understanding of which animals or plants are included under a particular species name and can present particular challenges for activities such as the implementation of convention</w:t>
      </w:r>
      <w:r w:rsidR="00AD0822" w:rsidRPr="007A23A5">
        <w:rPr>
          <w:rFonts w:asciiTheme="minorHAnsi" w:hAnsiTheme="minorHAnsi" w:cs="Arial"/>
          <w:lang w:val="en-GB"/>
        </w:rPr>
        <w:t>s which have legal implications,</w:t>
      </w:r>
    </w:p>
    <w:p w14:paraId="2B4EB607" w14:textId="77777777" w:rsidR="007A23A5" w:rsidRDefault="007A23A5" w:rsidP="007A23A5">
      <w:pPr>
        <w:spacing w:after="0" w:line="259" w:lineRule="auto"/>
        <w:jc w:val="both"/>
        <w:rPr>
          <w:rFonts w:asciiTheme="minorHAnsi" w:hAnsiTheme="minorHAnsi" w:cs="Arial"/>
          <w:i/>
          <w:iCs/>
          <w:lang w:val="en-GB"/>
        </w:rPr>
      </w:pPr>
    </w:p>
    <w:p w14:paraId="475C40ED" w14:textId="617A48FB"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i/>
          <w:iCs/>
          <w:lang w:val="en-GB"/>
        </w:rPr>
        <w:t xml:space="preserve">Recognizing </w:t>
      </w:r>
      <w:r w:rsidRPr="007A23A5">
        <w:rPr>
          <w:rFonts w:asciiTheme="minorHAnsi" w:hAnsiTheme="minorHAnsi" w:cs="Arial"/>
          <w:lang w:val="en-GB"/>
        </w:rPr>
        <w:t>that the 4</w:t>
      </w:r>
      <w:r w:rsidRPr="007A23A5">
        <w:rPr>
          <w:rFonts w:asciiTheme="minorHAnsi" w:hAnsiTheme="minorHAnsi" w:cs="Arial"/>
          <w:vertAlign w:val="superscript"/>
          <w:lang w:val="en-GB"/>
        </w:rPr>
        <w:t>th</w:t>
      </w:r>
      <w:r w:rsidRPr="007A23A5">
        <w:rPr>
          <w:rFonts w:asciiTheme="minorHAnsi" w:hAnsiTheme="minorHAnsi" w:cs="Arial"/>
          <w:lang w:val="en-GB"/>
        </w:rPr>
        <w:t xml:space="preserve"> meeting of the Chairs of the Scientific Advisory Bodies of Biodiversity-related Conventions (CSAB, Gland, Switzerland 13 February 2011) expressed its support for the idea of moving towards harmonization of nomenclature and taxonomy in lists of species used by the biodiversity-related conventions, and praised the harmonization proc</w:t>
      </w:r>
      <w:r w:rsidR="00AD0822" w:rsidRPr="007A23A5">
        <w:rPr>
          <w:rFonts w:asciiTheme="minorHAnsi" w:hAnsiTheme="minorHAnsi" w:cs="Arial"/>
          <w:lang w:val="en-GB"/>
        </w:rPr>
        <w:t>ess undertaken by CITES and CMS,</w:t>
      </w:r>
    </w:p>
    <w:p w14:paraId="63E1D304" w14:textId="77777777" w:rsidR="007A23A5" w:rsidRDefault="007A23A5" w:rsidP="007A23A5">
      <w:pPr>
        <w:pStyle w:val="ListNumber"/>
        <w:spacing w:after="0" w:line="259" w:lineRule="auto"/>
        <w:rPr>
          <w:rFonts w:asciiTheme="minorHAnsi" w:hAnsiTheme="minorHAnsi" w:cs="Arial"/>
          <w:bCs/>
          <w:i/>
          <w:lang w:val="en-GB"/>
        </w:rPr>
      </w:pPr>
    </w:p>
    <w:p w14:paraId="1A081C48" w14:textId="05A9F327" w:rsidR="00EF15EF" w:rsidRPr="007A23A5" w:rsidRDefault="00572D7B" w:rsidP="007A23A5">
      <w:pPr>
        <w:pStyle w:val="ListNumber"/>
        <w:spacing w:after="0" w:line="259" w:lineRule="auto"/>
        <w:rPr>
          <w:rFonts w:asciiTheme="minorHAnsi" w:hAnsiTheme="minorHAnsi" w:cs="Arial"/>
          <w:bCs/>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in order to strengthen the global effort to meet the </w:t>
      </w:r>
      <w:r w:rsidRPr="007A23A5">
        <w:rPr>
          <w:rFonts w:asciiTheme="minorHAnsi" w:hAnsiTheme="minorHAnsi" w:cs="Arial"/>
          <w:bCs/>
        </w:rPr>
        <w:t>Aichi Biodiversity Targets</w:t>
      </w:r>
      <w:r w:rsidRPr="007A23A5">
        <w:rPr>
          <w:rFonts w:asciiTheme="minorHAnsi" w:hAnsiTheme="minorHAnsi" w:cs="Arial"/>
          <w:bCs/>
          <w:lang w:val="en-GB"/>
        </w:rPr>
        <w:t xml:space="preserve"> in order to reduce the rate of biodiversity loss by 2020, it would be sensible to try to ensure greater harmonization between biodiversity-related multilateral environmental agreements in the fie</w:t>
      </w:r>
      <w:r w:rsidR="00AD0822" w:rsidRPr="007A23A5">
        <w:rPr>
          <w:rFonts w:asciiTheme="minorHAnsi" w:hAnsiTheme="minorHAnsi" w:cs="Arial"/>
          <w:bCs/>
          <w:lang w:val="en-GB"/>
        </w:rPr>
        <w:t>ld of taxonomy and nomenclature,</w:t>
      </w:r>
    </w:p>
    <w:p w14:paraId="3D5EC497" w14:textId="77777777" w:rsidR="00572D7B" w:rsidRPr="007A23A5" w:rsidRDefault="00572D7B" w:rsidP="007A23A5">
      <w:pPr>
        <w:pStyle w:val="ListNumber"/>
        <w:spacing w:after="0" w:line="259" w:lineRule="auto"/>
        <w:rPr>
          <w:rFonts w:asciiTheme="minorHAnsi" w:hAnsiTheme="minorHAnsi" w:cs="Arial"/>
          <w:bCs/>
          <w:lang w:val="en-GB"/>
        </w:rPr>
      </w:pPr>
    </w:p>
    <w:p w14:paraId="316E190A" w14:textId="463BC7B2" w:rsidR="00572D7B" w:rsidRPr="007A23A5" w:rsidRDefault="00572D7B" w:rsidP="007A23A5">
      <w:pPr>
        <w:spacing w:after="0" w:line="259" w:lineRule="auto"/>
        <w:jc w:val="both"/>
        <w:rPr>
          <w:rFonts w:asciiTheme="minorHAnsi" w:hAnsiTheme="minorHAnsi" w:cs="Arial"/>
          <w:lang w:val="en-GB"/>
        </w:rPr>
      </w:pPr>
      <w:r w:rsidRPr="007A23A5">
        <w:rPr>
          <w:rFonts w:asciiTheme="minorHAnsi" w:hAnsiTheme="minorHAnsi" w:cs="Arial"/>
          <w:bCs/>
          <w:i/>
          <w:lang w:val="en-GB"/>
        </w:rPr>
        <w:t>Acknowledging</w:t>
      </w:r>
      <w:r w:rsidRPr="007A23A5">
        <w:rPr>
          <w:rFonts w:asciiTheme="minorHAnsi" w:hAnsiTheme="minorHAnsi" w:cs="Arial"/>
          <w:bCs/>
          <w:lang w:val="en-GB"/>
        </w:rPr>
        <w:t xml:space="preserve"> that </w:t>
      </w:r>
      <w:r w:rsidRPr="007A23A5">
        <w:rPr>
          <w:rFonts w:asciiTheme="minorHAnsi" w:hAnsiTheme="minorHAnsi" w:cs="Arial"/>
          <w:lang w:val="en-GB"/>
        </w:rPr>
        <w:t xml:space="preserve">the harmonization of nomenclature can lead to a more integrated process, reduction of duplication and greater sharing of information between biodiversity-related Multilateral </w:t>
      </w:r>
      <w:r w:rsidR="00AD0822" w:rsidRPr="007A23A5">
        <w:rPr>
          <w:rFonts w:asciiTheme="minorHAnsi" w:hAnsiTheme="minorHAnsi" w:cs="Arial"/>
          <w:lang w:val="en-GB"/>
        </w:rPr>
        <w:t>Environmental Agreements (MEAs),</w:t>
      </w:r>
    </w:p>
    <w:p w14:paraId="0421D2E2" w14:textId="77777777" w:rsidR="007A23A5" w:rsidRDefault="007A23A5" w:rsidP="007A23A5">
      <w:pPr>
        <w:pStyle w:val="ListNumber"/>
        <w:spacing w:after="0" w:line="259" w:lineRule="auto"/>
        <w:rPr>
          <w:rFonts w:asciiTheme="minorHAnsi" w:hAnsiTheme="minorHAnsi" w:cs="Arial"/>
          <w:i/>
          <w:iCs/>
        </w:rPr>
      </w:pPr>
    </w:p>
    <w:p w14:paraId="06C54778" w14:textId="696934F7" w:rsidR="00572D7B" w:rsidRPr="007A23A5" w:rsidRDefault="00572D7B" w:rsidP="007A23A5">
      <w:pPr>
        <w:pStyle w:val="ListNumber"/>
        <w:spacing w:after="0" w:line="259" w:lineRule="auto"/>
        <w:rPr>
          <w:rFonts w:asciiTheme="minorHAnsi" w:hAnsiTheme="minorHAnsi"/>
        </w:rPr>
      </w:pPr>
      <w:r w:rsidRPr="007A23A5">
        <w:rPr>
          <w:rFonts w:asciiTheme="minorHAnsi" w:hAnsiTheme="minorHAnsi" w:cs="Arial"/>
          <w:i/>
          <w:iCs/>
        </w:rPr>
        <w:t xml:space="preserve">Aware </w:t>
      </w:r>
      <w:r w:rsidRPr="007A23A5">
        <w:rPr>
          <w:rFonts w:asciiTheme="minorHAnsi" w:hAnsiTheme="minorHAnsi" w:cs="Arial"/>
        </w:rPr>
        <w:t xml:space="preserve">that a harmonization of bird taxonomy and nomenclature among MEAs and other partners, such as CMS, CITES, Ramsar, </w:t>
      </w:r>
      <w:r w:rsidR="00A33D93" w:rsidRPr="007A23A5">
        <w:rPr>
          <w:rFonts w:asciiTheme="minorHAnsi" w:hAnsiTheme="minorHAnsi" w:cs="Arial"/>
        </w:rPr>
        <w:t xml:space="preserve">AEWA, </w:t>
      </w:r>
      <w:r w:rsidRPr="007A23A5">
        <w:rPr>
          <w:rFonts w:asciiTheme="minorHAnsi" w:hAnsiTheme="minorHAnsi" w:cs="Arial"/>
        </w:rPr>
        <w:t xml:space="preserve">IUCN, </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and Wetlands International,</w:t>
      </w:r>
      <w:r w:rsidR="003E4B47" w:rsidRPr="007A23A5">
        <w:rPr>
          <w:rFonts w:asciiTheme="minorHAnsi" w:hAnsiTheme="minorHAnsi" w:cs="Arial"/>
        </w:rPr>
        <w:t xml:space="preserve"> </w:t>
      </w:r>
      <w:r w:rsidRPr="007A23A5">
        <w:rPr>
          <w:rFonts w:asciiTheme="minorHAnsi" w:hAnsiTheme="minorHAnsi" w:cs="Arial"/>
        </w:rPr>
        <w:t>can improve synergies benefitting</w:t>
      </w:r>
      <w:r w:rsidR="00AD0822" w:rsidRPr="007A23A5">
        <w:rPr>
          <w:rFonts w:asciiTheme="minorHAnsi" w:hAnsiTheme="minorHAnsi" w:cs="Arial"/>
        </w:rPr>
        <w:t xml:space="preserve"> migratory species conservation,</w:t>
      </w:r>
    </w:p>
    <w:p w14:paraId="4431A570" w14:textId="77777777" w:rsidR="00EF15EF" w:rsidRPr="007A23A5" w:rsidRDefault="00EF15EF" w:rsidP="007A23A5">
      <w:pPr>
        <w:pStyle w:val="ListNumber"/>
        <w:spacing w:after="0" w:line="259" w:lineRule="auto"/>
        <w:ind w:left="369" w:hanging="369"/>
        <w:rPr>
          <w:rFonts w:asciiTheme="minorHAnsi" w:hAnsiTheme="minorHAnsi"/>
        </w:rPr>
      </w:pPr>
    </w:p>
    <w:p w14:paraId="3FA484C4"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The 10</w:t>
      </w:r>
      <w:r w:rsidRPr="007A23A5">
        <w:rPr>
          <w:rFonts w:asciiTheme="minorHAnsi" w:hAnsiTheme="minorHAnsi"/>
          <w:i/>
          <w:vertAlign w:val="superscript"/>
        </w:rPr>
        <w:t>th</w:t>
      </w:r>
      <w:r w:rsidRPr="007A23A5">
        <w:rPr>
          <w:rFonts w:asciiTheme="minorHAnsi" w:hAnsiTheme="minorHAnsi"/>
          <w:i/>
        </w:rPr>
        <w:t xml:space="preserve"> Meeting of the Partners </w:t>
      </w:r>
    </w:p>
    <w:p w14:paraId="25862D32"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r w:rsidRPr="007A23A5">
        <w:rPr>
          <w:rFonts w:asciiTheme="minorHAnsi" w:hAnsiTheme="minorHAnsi"/>
          <w:i/>
        </w:rPr>
        <w:t>of the East Asian – Australasian Flyway Partnership:</w:t>
      </w:r>
    </w:p>
    <w:p w14:paraId="27809069" w14:textId="77777777" w:rsidR="00EF15EF" w:rsidRPr="007A23A5" w:rsidRDefault="00EF15EF" w:rsidP="007A23A5">
      <w:pPr>
        <w:pStyle w:val="ListBullet"/>
        <w:numPr>
          <w:ilvl w:val="0"/>
          <w:numId w:val="0"/>
        </w:numPr>
        <w:spacing w:after="0" w:line="259" w:lineRule="auto"/>
        <w:ind w:left="369" w:hanging="369"/>
        <w:jc w:val="center"/>
        <w:rPr>
          <w:rFonts w:asciiTheme="minorHAnsi" w:hAnsiTheme="minorHAnsi"/>
          <w:i/>
        </w:rPr>
      </w:pPr>
    </w:p>
    <w:p w14:paraId="0204A07D" w14:textId="7FEDE6B7" w:rsidR="002F15BC" w:rsidRPr="007A23A5" w:rsidRDefault="002F15BC" w:rsidP="00B071D9">
      <w:pPr>
        <w:pStyle w:val="Default"/>
        <w:numPr>
          <w:ilvl w:val="0"/>
          <w:numId w:val="7"/>
        </w:numPr>
        <w:spacing w:line="259" w:lineRule="auto"/>
        <w:rPr>
          <w:rFonts w:asciiTheme="minorHAnsi" w:hAnsiTheme="minorHAnsi" w:cs="Arial"/>
          <w:sz w:val="22"/>
          <w:szCs w:val="22"/>
        </w:rPr>
      </w:pPr>
      <w:r w:rsidRPr="007A23A5">
        <w:rPr>
          <w:rFonts w:asciiTheme="minorHAnsi" w:hAnsiTheme="minorHAnsi" w:cs="Arial"/>
          <w:i/>
          <w:sz w:val="22"/>
          <w:szCs w:val="22"/>
        </w:rPr>
        <w:t>A</w:t>
      </w:r>
      <w:r w:rsidRPr="007A23A5">
        <w:rPr>
          <w:rFonts w:asciiTheme="minorHAnsi" w:hAnsiTheme="minorHAnsi" w:cs="Arial"/>
          <w:i/>
          <w:iCs/>
          <w:sz w:val="22"/>
          <w:szCs w:val="22"/>
        </w:rPr>
        <w:t>dopts</w:t>
      </w:r>
      <w:r w:rsidRPr="007A23A5">
        <w:rPr>
          <w:rFonts w:asciiTheme="minorHAnsi" w:hAnsiTheme="minorHAnsi" w:cs="Arial"/>
          <w:sz w:val="22"/>
          <w:szCs w:val="22"/>
        </w:rPr>
        <w:t xml:space="preserve"> a standard reference for bird taxonomy and nomenclature for non-Passerine species: </w:t>
      </w:r>
    </w:p>
    <w:p w14:paraId="4E9D7765" w14:textId="77777777" w:rsidR="007A23A5" w:rsidRPr="007A23A5" w:rsidRDefault="007A23A5" w:rsidP="007A23A5">
      <w:pPr>
        <w:pStyle w:val="ListNumber"/>
        <w:spacing w:after="0" w:line="259" w:lineRule="auto"/>
        <w:ind w:left="369"/>
        <w:rPr>
          <w:rFonts w:asciiTheme="minorHAnsi" w:hAnsiTheme="minorHAnsi" w:cs="Arial"/>
        </w:rPr>
      </w:pPr>
    </w:p>
    <w:p w14:paraId="0FA65539" w14:textId="6949C87E" w:rsidR="00EF15EF" w:rsidRPr="007A23A5" w:rsidRDefault="002F15BC" w:rsidP="007A23A5">
      <w:pPr>
        <w:pStyle w:val="ListNumber"/>
        <w:spacing w:after="0" w:line="259" w:lineRule="auto"/>
        <w:ind w:left="369"/>
        <w:rPr>
          <w:rFonts w:asciiTheme="minorHAnsi" w:hAnsiTheme="minorHAnsi" w:cs="Arial"/>
        </w:rPr>
      </w:pPr>
      <w:r w:rsidRPr="007A23A5">
        <w:rPr>
          <w:rFonts w:asciiTheme="minorHAnsi" w:hAnsiTheme="minorHAnsi" w:cs="Arial"/>
        </w:rPr>
        <w:t>Handbook of the Birds of the World/</w:t>
      </w:r>
      <w:proofErr w:type="spellStart"/>
      <w:r w:rsidRPr="007A23A5">
        <w:rPr>
          <w:rFonts w:asciiTheme="minorHAnsi" w:hAnsiTheme="minorHAnsi" w:cs="Arial"/>
        </w:rPr>
        <w:t>BirdLife</w:t>
      </w:r>
      <w:proofErr w:type="spellEnd"/>
      <w:r w:rsidRPr="007A23A5">
        <w:rPr>
          <w:rFonts w:asciiTheme="minorHAnsi" w:hAnsiTheme="minorHAnsi" w:cs="Arial"/>
        </w:rPr>
        <w:t xml:space="preserve"> International Illustrated Checklist of the Birds of the World, Volume 1: Non-passerines, by </w:t>
      </w:r>
      <w:proofErr w:type="spellStart"/>
      <w:r w:rsidRPr="007A23A5">
        <w:rPr>
          <w:rFonts w:asciiTheme="minorHAnsi" w:hAnsiTheme="minorHAnsi" w:cs="Arial"/>
        </w:rPr>
        <w:t>Josep</w:t>
      </w:r>
      <w:proofErr w:type="spellEnd"/>
      <w:r w:rsidRPr="007A23A5">
        <w:rPr>
          <w:rFonts w:asciiTheme="minorHAnsi" w:hAnsiTheme="minorHAnsi" w:cs="Arial"/>
        </w:rPr>
        <w:t xml:space="preserve"> del </w:t>
      </w:r>
      <w:proofErr w:type="spellStart"/>
      <w:r w:rsidRPr="007A23A5">
        <w:rPr>
          <w:rFonts w:asciiTheme="minorHAnsi" w:hAnsiTheme="minorHAnsi" w:cs="Arial"/>
        </w:rPr>
        <w:t>Hoyo</w:t>
      </w:r>
      <w:proofErr w:type="spellEnd"/>
      <w:r w:rsidRPr="007A23A5">
        <w:rPr>
          <w:rFonts w:asciiTheme="minorHAnsi" w:hAnsiTheme="minorHAnsi" w:cs="Arial"/>
        </w:rPr>
        <w:t>, Nigel J. Collar, David A. Christie, Andrew Elliot a</w:t>
      </w:r>
      <w:r w:rsidR="00317607" w:rsidRPr="007A23A5">
        <w:rPr>
          <w:rFonts w:asciiTheme="minorHAnsi" w:hAnsiTheme="minorHAnsi" w:cs="Arial"/>
        </w:rPr>
        <w:t xml:space="preserve">nd Lincoln D.C. </w:t>
      </w:r>
      <w:proofErr w:type="spellStart"/>
      <w:r w:rsidR="00317607" w:rsidRPr="007A23A5">
        <w:rPr>
          <w:rFonts w:asciiTheme="minorHAnsi" w:hAnsiTheme="minorHAnsi" w:cs="Arial"/>
        </w:rPr>
        <w:t>Fishpool</w:t>
      </w:r>
      <w:proofErr w:type="spellEnd"/>
      <w:r w:rsidR="00317607" w:rsidRPr="007A23A5">
        <w:rPr>
          <w:rFonts w:asciiTheme="minorHAnsi" w:hAnsiTheme="minorHAnsi" w:cs="Arial"/>
        </w:rPr>
        <w:t xml:space="preserve"> (2014).</w:t>
      </w:r>
    </w:p>
    <w:sectPr w:rsidR="00EF15EF" w:rsidRPr="007A23A5" w:rsidSect="00FA4CF0">
      <w:headerReference w:type="even" r:id="rId14"/>
      <w:headerReference w:type="default" r:id="rId15"/>
      <w:footerReference w:type="default" r:id="rId16"/>
      <w:headerReference w:type="first" r:id="rId17"/>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93BC" w14:textId="77777777" w:rsidR="00D55696" w:rsidRDefault="00D55696" w:rsidP="00A60185">
      <w:pPr>
        <w:spacing w:after="0" w:line="240" w:lineRule="auto"/>
      </w:pPr>
      <w:r>
        <w:separator/>
      </w:r>
    </w:p>
  </w:endnote>
  <w:endnote w:type="continuationSeparator" w:id="0">
    <w:p w14:paraId="76BD207B" w14:textId="77777777" w:rsidR="00D55696" w:rsidRDefault="00D55696"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3830"/>
      <w:docPartObj>
        <w:docPartGallery w:val="Page Numbers (Bottom of Page)"/>
        <w:docPartUnique/>
      </w:docPartObj>
    </w:sdtPr>
    <w:sdtEndPr/>
    <w:sdtContent>
      <w:p w14:paraId="0DD39FC2" w14:textId="77777777" w:rsidR="00100BEF" w:rsidRDefault="002F15BC">
        <w:pPr>
          <w:pStyle w:val="Footer"/>
          <w:jc w:val="center"/>
        </w:pPr>
        <w:r>
          <w:fldChar w:fldCharType="begin"/>
        </w:r>
        <w:r>
          <w:instrText xml:space="preserve"> PAGE   \* MERGEFORMAT </w:instrText>
        </w:r>
        <w:r>
          <w:fldChar w:fldCharType="separate"/>
        </w:r>
        <w:r w:rsidR="00AD0822">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5B38" w14:textId="77777777" w:rsidR="00D55696" w:rsidRDefault="00D55696" w:rsidP="00A60185">
      <w:pPr>
        <w:spacing w:after="0" w:line="240" w:lineRule="auto"/>
      </w:pPr>
      <w:r>
        <w:separator/>
      </w:r>
    </w:p>
  </w:footnote>
  <w:footnote w:type="continuationSeparator" w:id="0">
    <w:p w14:paraId="1A654DD2" w14:textId="77777777" w:rsidR="00D55696" w:rsidRDefault="00D55696" w:rsidP="00A6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302F" w14:textId="77777777" w:rsidR="00100BEF" w:rsidRDefault="00F2531D" w:rsidP="00E45765">
    <w:pPr>
      <w:pStyle w:val="Classification"/>
    </w:pPr>
    <w:r>
      <w:fldChar w:fldCharType="begin"/>
    </w:r>
    <w:r w:rsidR="00166690">
      <w:instrText xml:space="preserve"> DOCPROPERTY SecurityClassification \* MERGEFORMAT </w:instrText>
    </w:r>
    <w:r>
      <w:fldChar w:fldCharType="separate"/>
    </w:r>
    <w:r w:rsidR="00EF15EF">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33E7" w14:textId="77777777" w:rsidR="007A23A5" w:rsidRDefault="007A23A5" w:rsidP="007A23A5">
    <w:pPr>
      <w:pStyle w:val="Header"/>
      <w:pBdr>
        <w:bottom w:val="single" w:sz="4" w:space="1" w:color="auto"/>
      </w:pBdr>
      <w:rPr>
        <w:rFonts w:asciiTheme="minorHAnsi" w:hAnsiTheme="minorHAnsi" w:cs="Arial"/>
        <w:i/>
        <w:sz w:val="20"/>
        <w:szCs w:val="20"/>
        <w:lang w:val="de-DE"/>
      </w:rPr>
    </w:pPr>
  </w:p>
  <w:p w14:paraId="6BC9A2ED" w14:textId="465865CB"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EAAFP/</w:t>
    </w:r>
    <w:r w:rsidR="00654971">
      <w:rPr>
        <w:rFonts w:asciiTheme="minorHAnsi" w:hAnsiTheme="minorHAnsi" w:cs="Arial"/>
        <w:i/>
        <w:sz w:val="20"/>
        <w:szCs w:val="20"/>
        <w:lang w:val="de-DE"/>
      </w:rPr>
      <w:t>MoP</w:t>
    </w:r>
    <w:r w:rsidRPr="007A23A5">
      <w:rPr>
        <w:rFonts w:asciiTheme="minorHAnsi" w:hAnsiTheme="minorHAnsi" w:cs="Arial"/>
        <w:i/>
        <w:sz w:val="20"/>
        <w:szCs w:val="20"/>
        <w:lang w:val="de-DE"/>
      </w:rPr>
      <w:t xml:space="preserve">10/Draft Decision </w:t>
    </w:r>
    <w:r>
      <w:rPr>
        <w:rFonts w:asciiTheme="minorHAnsi" w:hAnsiTheme="minorHAnsi" w:cs="Arial"/>
        <w:i/>
        <w:sz w:val="20"/>
        <w:szCs w:val="20"/>
        <w:lang w:val="de-DE"/>
      </w:rPr>
      <w:t>10</w:t>
    </w:r>
  </w:p>
  <w:p w14:paraId="03401476" w14:textId="77777777" w:rsidR="007A23A5" w:rsidRDefault="007A2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BE3A9" w14:textId="709B27E1" w:rsidR="00100BEF" w:rsidRDefault="00100BEF">
    <w:pPr>
      <w:pStyle w:val="Header"/>
    </w:pPr>
  </w:p>
  <w:p w14:paraId="28E7C6A7" w14:textId="6CC7FCA3" w:rsidR="007A23A5" w:rsidRPr="007A23A5" w:rsidRDefault="007A23A5" w:rsidP="007A23A5">
    <w:pPr>
      <w:pStyle w:val="Header"/>
      <w:pBdr>
        <w:bottom w:val="single" w:sz="4" w:space="1" w:color="auto"/>
      </w:pBdr>
      <w:rPr>
        <w:rFonts w:asciiTheme="minorHAnsi" w:hAnsiTheme="minorHAnsi" w:cs="Arial"/>
        <w:i/>
        <w:sz w:val="20"/>
        <w:szCs w:val="20"/>
        <w:lang w:val="de-DE"/>
      </w:rPr>
    </w:pPr>
    <w:r w:rsidRPr="007A23A5">
      <w:rPr>
        <w:rFonts w:asciiTheme="minorHAnsi" w:hAnsiTheme="minorHAnsi" w:cs="Arial"/>
        <w:i/>
        <w:sz w:val="20"/>
        <w:szCs w:val="20"/>
        <w:lang w:val="de-DE"/>
      </w:rPr>
      <w:t>EAAFP/</w:t>
    </w:r>
    <w:r w:rsidR="00654971">
      <w:rPr>
        <w:rFonts w:asciiTheme="minorHAnsi" w:hAnsiTheme="minorHAnsi" w:cs="Arial"/>
        <w:i/>
        <w:sz w:val="20"/>
        <w:szCs w:val="20"/>
        <w:lang w:val="de-DE"/>
      </w:rPr>
      <w:t>MoP</w:t>
    </w:r>
    <w:r w:rsidRPr="007A23A5">
      <w:rPr>
        <w:rFonts w:asciiTheme="minorHAnsi" w:hAnsiTheme="minorHAnsi" w:cs="Arial"/>
        <w:i/>
        <w:sz w:val="20"/>
        <w:szCs w:val="20"/>
        <w:lang w:val="de-DE"/>
      </w:rPr>
      <w:t xml:space="preserve">10/Draft Decision </w:t>
    </w:r>
    <w:r>
      <w:rPr>
        <w:rFonts w:asciiTheme="minorHAnsi" w:hAnsiTheme="minorHAnsi" w:cs="Arial"/>
        <w:i/>
        <w:sz w:val="20"/>
        <w:szCs w:val="20"/>
        <w:lang w:val="de-DE"/>
      </w:rPr>
      <w:t>10</w:t>
    </w:r>
  </w:p>
  <w:p w14:paraId="0B55CF76" w14:textId="77777777" w:rsidR="007A23A5" w:rsidRPr="007A23A5" w:rsidRDefault="007A23A5" w:rsidP="007A23A5">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00794F0A"/>
    <w:multiLevelType w:val="multilevel"/>
    <w:tmpl w:val="98E8AAAC"/>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45BC2"/>
    <w:multiLevelType w:val="multilevel"/>
    <w:tmpl w:val="E5E89F92"/>
    <w:numStyleLink w:val="BulletList"/>
  </w:abstractNum>
  <w:abstractNum w:abstractNumId="4"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AB91BC7"/>
    <w:multiLevelType w:val="singleLevel"/>
    <w:tmpl w:val="11FC31F8"/>
    <w:lvl w:ilvl="0">
      <w:start w:val="1"/>
      <w:numFmt w:val="decimal"/>
      <w:lvlText w:val="%1."/>
      <w:lvlJc w:val="left"/>
      <w:pPr>
        <w:ind w:left="369" w:hanging="369"/>
      </w:pPr>
      <w:rPr>
        <w:rFonts w:ascii="Calibri" w:hAnsi="Calibri" w:hint="default"/>
        <w:b w:val="0"/>
        <w:i w:val="0"/>
        <w:sz w:val="22"/>
      </w:rPr>
    </w:lvl>
  </w:abstractNum>
  <w:abstractNum w:abstractNumId="7"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7"/>
  </w:num>
  <w:num w:numId="2">
    <w:abstractNumId w:val="0"/>
  </w:num>
  <w:num w:numId="3">
    <w:abstractNumId w:val="5"/>
  </w:num>
  <w:num w:numId="4">
    <w:abstractNumId w:val="4"/>
  </w:num>
  <w:num w:numId="5">
    <w:abstractNumId w:val="6"/>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EF15EF"/>
    <w:rsid w:val="00004AEE"/>
    <w:rsid w:val="00005CAA"/>
    <w:rsid w:val="00007630"/>
    <w:rsid w:val="00010210"/>
    <w:rsid w:val="00012D66"/>
    <w:rsid w:val="00015ADA"/>
    <w:rsid w:val="00020C99"/>
    <w:rsid w:val="00020E9F"/>
    <w:rsid w:val="0002707B"/>
    <w:rsid w:val="0005148E"/>
    <w:rsid w:val="00072C5A"/>
    <w:rsid w:val="000759E5"/>
    <w:rsid w:val="00084AC6"/>
    <w:rsid w:val="00091608"/>
    <w:rsid w:val="0009333C"/>
    <w:rsid w:val="0009704F"/>
    <w:rsid w:val="000A0F11"/>
    <w:rsid w:val="000A125A"/>
    <w:rsid w:val="000A57CD"/>
    <w:rsid w:val="000B2905"/>
    <w:rsid w:val="000B3758"/>
    <w:rsid w:val="000B7681"/>
    <w:rsid w:val="000B7B42"/>
    <w:rsid w:val="000C02B7"/>
    <w:rsid w:val="000C5100"/>
    <w:rsid w:val="000C5342"/>
    <w:rsid w:val="000C706A"/>
    <w:rsid w:val="000D2887"/>
    <w:rsid w:val="000D6D63"/>
    <w:rsid w:val="000E0081"/>
    <w:rsid w:val="000E07CF"/>
    <w:rsid w:val="000E31C1"/>
    <w:rsid w:val="000F2CF2"/>
    <w:rsid w:val="00100BEF"/>
    <w:rsid w:val="00111326"/>
    <w:rsid w:val="0011498E"/>
    <w:rsid w:val="00117A45"/>
    <w:rsid w:val="001224AE"/>
    <w:rsid w:val="001337D4"/>
    <w:rsid w:val="00147C12"/>
    <w:rsid w:val="001527A1"/>
    <w:rsid w:val="001530DC"/>
    <w:rsid w:val="00154989"/>
    <w:rsid w:val="00155A9F"/>
    <w:rsid w:val="00160262"/>
    <w:rsid w:val="00166690"/>
    <w:rsid w:val="0016780A"/>
    <w:rsid w:val="001713FA"/>
    <w:rsid w:val="00173EBF"/>
    <w:rsid w:val="00175ED3"/>
    <w:rsid w:val="001842A2"/>
    <w:rsid w:val="00187FA8"/>
    <w:rsid w:val="00192F5E"/>
    <w:rsid w:val="00197772"/>
    <w:rsid w:val="001A51C8"/>
    <w:rsid w:val="001B4CA8"/>
    <w:rsid w:val="001B5EA1"/>
    <w:rsid w:val="001C4F3D"/>
    <w:rsid w:val="001D0CDC"/>
    <w:rsid w:val="001D1D82"/>
    <w:rsid w:val="001E1182"/>
    <w:rsid w:val="00202C90"/>
    <w:rsid w:val="00213DE8"/>
    <w:rsid w:val="00216118"/>
    <w:rsid w:val="002209AB"/>
    <w:rsid w:val="00224B8E"/>
    <w:rsid w:val="002251E3"/>
    <w:rsid w:val="00227A95"/>
    <w:rsid w:val="002316BD"/>
    <w:rsid w:val="002473FC"/>
    <w:rsid w:val="00252E3C"/>
    <w:rsid w:val="00262198"/>
    <w:rsid w:val="00285F1B"/>
    <w:rsid w:val="00292B81"/>
    <w:rsid w:val="002B18AE"/>
    <w:rsid w:val="002B6F8B"/>
    <w:rsid w:val="002C1C93"/>
    <w:rsid w:val="002C5066"/>
    <w:rsid w:val="002C5813"/>
    <w:rsid w:val="002D4AAC"/>
    <w:rsid w:val="002F045A"/>
    <w:rsid w:val="002F15BC"/>
    <w:rsid w:val="0030039D"/>
    <w:rsid w:val="0030326F"/>
    <w:rsid w:val="00310701"/>
    <w:rsid w:val="00315980"/>
    <w:rsid w:val="00316F7F"/>
    <w:rsid w:val="00317607"/>
    <w:rsid w:val="003218E8"/>
    <w:rsid w:val="00325E34"/>
    <w:rsid w:val="00330DCE"/>
    <w:rsid w:val="00331E11"/>
    <w:rsid w:val="00334761"/>
    <w:rsid w:val="00337EBC"/>
    <w:rsid w:val="00341DCD"/>
    <w:rsid w:val="0034563E"/>
    <w:rsid w:val="003518D6"/>
    <w:rsid w:val="0035460C"/>
    <w:rsid w:val="003556BD"/>
    <w:rsid w:val="00365147"/>
    <w:rsid w:val="0037016E"/>
    <w:rsid w:val="00372908"/>
    <w:rsid w:val="00383020"/>
    <w:rsid w:val="00394D7E"/>
    <w:rsid w:val="003975FD"/>
    <w:rsid w:val="003B057D"/>
    <w:rsid w:val="003B60CC"/>
    <w:rsid w:val="003C1B25"/>
    <w:rsid w:val="003C2443"/>
    <w:rsid w:val="003C5DA3"/>
    <w:rsid w:val="003D4BCD"/>
    <w:rsid w:val="003D6C2B"/>
    <w:rsid w:val="003E01D8"/>
    <w:rsid w:val="003E2100"/>
    <w:rsid w:val="003E4B47"/>
    <w:rsid w:val="003F6F5B"/>
    <w:rsid w:val="0040342D"/>
    <w:rsid w:val="0041192D"/>
    <w:rsid w:val="00413EE1"/>
    <w:rsid w:val="0042128E"/>
    <w:rsid w:val="00432B60"/>
    <w:rsid w:val="00440698"/>
    <w:rsid w:val="00447ECF"/>
    <w:rsid w:val="004540E2"/>
    <w:rsid w:val="00454454"/>
    <w:rsid w:val="00467924"/>
    <w:rsid w:val="004712A5"/>
    <w:rsid w:val="0047266F"/>
    <w:rsid w:val="00476D6B"/>
    <w:rsid w:val="00492C16"/>
    <w:rsid w:val="004A0678"/>
    <w:rsid w:val="004A48A3"/>
    <w:rsid w:val="004B0D92"/>
    <w:rsid w:val="004B0EC0"/>
    <w:rsid w:val="004B66F1"/>
    <w:rsid w:val="004C3EA0"/>
    <w:rsid w:val="004C7C7C"/>
    <w:rsid w:val="004E0971"/>
    <w:rsid w:val="004F7169"/>
    <w:rsid w:val="00500D66"/>
    <w:rsid w:val="00512A75"/>
    <w:rsid w:val="00514C8E"/>
    <w:rsid w:val="00531DBF"/>
    <w:rsid w:val="00545759"/>
    <w:rsid w:val="00545BE0"/>
    <w:rsid w:val="00546930"/>
    <w:rsid w:val="00547A7E"/>
    <w:rsid w:val="00554C6A"/>
    <w:rsid w:val="00562E85"/>
    <w:rsid w:val="0056332F"/>
    <w:rsid w:val="005719B3"/>
    <w:rsid w:val="0057295E"/>
    <w:rsid w:val="00572D7B"/>
    <w:rsid w:val="00581C39"/>
    <w:rsid w:val="005903B6"/>
    <w:rsid w:val="005A0247"/>
    <w:rsid w:val="005A126E"/>
    <w:rsid w:val="005A452F"/>
    <w:rsid w:val="005B140D"/>
    <w:rsid w:val="005C1FEA"/>
    <w:rsid w:val="005C3495"/>
    <w:rsid w:val="005D7DFB"/>
    <w:rsid w:val="005E3DFC"/>
    <w:rsid w:val="005E5942"/>
    <w:rsid w:val="005E60AF"/>
    <w:rsid w:val="005F1DEA"/>
    <w:rsid w:val="00607FC9"/>
    <w:rsid w:val="00622FE1"/>
    <w:rsid w:val="0062521C"/>
    <w:rsid w:val="00630A2B"/>
    <w:rsid w:val="00632DC7"/>
    <w:rsid w:val="006357FB"/>
    <w:rsid w:val="006406FC"/>
    <w:rsid w:val="00640E57"/>
    <w:rsid w:val="00646122"/>
    <w:rsid w:val="00653E16"/>
    <w:rsid w:val="00654971"/>
    <w:rsid w:val="00657220"/>
    <w:rsid w:val="00657362"/>
    <w:rsid w:val="0066104B"/>
    <w:rsid w:val="006655EE"/>
    <w:rsid w:val="00667C10"/>
    <w:rsid w:val="00667EF4"/>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0B05"/>
    <w:rsid w:val="006F10C4"/>
    <w:rsid w:val="006F40E9"/>
    <w:rsid w:val="006F5603"/>
    <w:rsid w:val="006F7B87"/>
    <w:rsid w:val="00701400"/>
    <w:rsid w:val="007037CF"/>
    <w:rsid w:val="0070659C"/>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94ED8"/>
    <w:rsid w:val="007A23A5"/>
    <w:rsid w:val="007A2573"/>
    <w:rsid w:val="007B106C"/>
    <w:rsid w:val="007B1A4E"/>
    <w:rsid w:val="007B3D05"/>
    <w:rsid w:val="007B5503"/>
    <w:rsid w:val="007C179C"/>
    <w:rsid w:val="007C6BB3"/>
    <w:rsid w:val="007D14B4"/>
    <w:rsid w:val="007D3AD7"/>
    <w:rsid w:val="007E24F6"/>
    <w:rsid w:val="00800F64"/>
    <w:rsid w:val="00801050"/>
    <w:rsid w:val="00802F0B"/>
    <w:rsid w:val="00810A67"/>
    <w:rsid w:val="00833CF7"/>
    <w:rsid w:val="00834CDE"/>
    <w:rsid w:val="00842464"/>
    <w:rsid w:val="00845601"/>
    <w:rsid w:val="00855C5C"/>
    <w:rsid w:val="008A3C96"/>
    <w:rsid w:val="008B4019"/>
    <w:rsid w:val="008B65C9"/>
    <w:rsid w:val="008C2D4A"/>
    <w:rsid w:val="008C5D1B"/>
    <w:rsid w:val="008D3900"/>
    <w:rsid w:val="008D6E1D"/>
    <w:rsid w:val="008F39B4"/>
    <w:rsid w:val="008F4162"/>
    <w:rsid w:val="00903E02"/>
    <w:rsid w:val="00913175"/>
    <w:rsid w:val="00916EDB"/>
    <w:rsid w:val="00920861"/>
    <w:rsid w:val="009229D5"/>
    <w:rsid w:val="00922B13"/>
    <w:rsid w:val="009242EF"/>
    <w:rsid w:val="00932291"/>
    <w:rsid w:val="00932861"/>
    <w:rsid w:val="0093408E"/>
    <w:rsid w:val="00952DDF"/>
    <w:rsid w:val="00963B6A"/>
    <w:rsid w:val="00970950"/>
    <w:rsid w:val="009812D4"/>
    <w:rsid w:val="009920D8"/>
    <w:rsid w:val="009B38BE"/>
    <w:rsid w:val="009C3D0F"/>
    <w:rsid w:val="009E1B19"/>
    <w:rsid w:val="009F33EA"/>
    <w:rsid w:val="009F35E2"/>
    <w:rsid w:val="009F42AA"/>
    <w:rsid w:val="009F65F9"/>
    <w:rsid w:val="009F68BA"/>
    <w:rsid w:val="00A06277"/>
    <w:rsid w:val="00A079DC"/>
    <w:rsid w:val="00A111C2"/>
    <w:rsid w:val="00A338E7"/>
    <w:rsid w:val="00A33D93"/>
    <w:rsid w:val="00A35CAA"/>
    <w:rsid w:val="00A36E7F"/>
    <w:rsid w:val="00A41E65"/>
    <w:rsid w:val="00A43E0A"/>
    <w:rsid w:val="00A45DDA"/>
    <w:rsid w:val="00A4769E"/>
    <w:rsid w:val="00A530C7"/>
    <w:rsid w:val="00A55F5B"/>
    <w:rsid w:val="00A60185"/>
    <w:rsid w:val="00A661EA"/>
    <w:rsid w:val="00A830E5"/>
    <w:rsid w:val="00A84FC0"/>
    <w:rsid w:val="00A87135"/>
    <w:rsid w:val="00A93280"/>
    <w:rsid w:val="00A951EA"/>
    <w:rsid w:val="00AA2548"/>
    <w:rsid w:val="00AA58C4"/>
    <w:rsid w:val="00AA7003"/>
    <w:rsid w:val="00AB11C8"/>
    <w:rsid w:val="00AC08A8"/>
    <w:rsid w:val="00AD0822"/>
    <w:rsid w:val="00AD56C8"/>
    <w:rsid w:val="00AD58F2"/>
    <w:rsid w:val="00B0512A"/>
    <w:rsid w:val="00B0529F"/>
    <w:rsid w:val="00B071D9"/>
    <w:rsid w:val="00B1418B"/>
    <w:rsid w:val="00B21195"/>
    <w:rsid w:val="00B24B22"/>
    <w:rsid w:val="00B25310"/>
    <w:rsid w:val="00B32F8F"/>
    <w:rsid w:val="00B3492A"/>
    <w:rsid w:val="00B54DE9"/>
    <w:rsid w:val="00B553EC"/>
    <w:rsid w:val="00B55E3F"/>
    <w:rsid w:val="00B70066"/>
    <w:rsid w:val="00B93DD0"/>
    <w:rsid w:val="00B97732"/>
    <w:rsid w:val="00BA230C"/>
    <w:rsid w:val="00BA65A8"/>
    <w:rsid w:val="00BA6D19"/>
    <w:rsid w:val="00BA7461"/>
    <w:rsid w:val="00BA7DA9"/>
    <w:rsid w:val="00BC4215"/>
    <w:rsid w:val="00BD1A6F"/>
    <w:rsid w:val="00BE113D"/>
    <w:rsid w:val="00BE2BC9"/>
    <w:rsid w:val="00BE6D3C"/>
    <w:rsid w:val="00BE7852"/>
    <w:rsid w:val="00BF7CEE"/>
    <w:rsid w:val="00C03880"/>
    <w:rsid w:val="00C1325B"/>
    <w:rsid w:val="00C135CF"/>
    <w:rsid w:val="00C2683F"/>
    <w:rsid w:val="00C3184D"/>
    <w:rsid w:val="00C4714E"/>
    <w:rsid w:val="00C51CCA"/>
    <w:rsid w:val="00C5504F"/>
    <w:rsid w:val="00C57B55"/>
    <w:rsid w:val="00C63376"/>
    <w:rsid w:val="00C74F97"/>
    <w:rsid w:val="00C8276E"/>
    <w:rsid w:val="00C842AC"/>
    <w:rsid w:val="00C93D14"/>
    <w:rsid w:val="00C96688"/>
    <w:rsid w:val="00CA0723"/>
    <w:rsid w:val="00CB1690"/>
    <w:rsid w:val="00CC4365"/>
    <w:rsid w:val="00CD11B0"/>
    <w:rsid w:val="00CE71C2"/>
    <w:rsid w:val="00CF42D5"/>
    <w:rsid w:val="00CF4EDA"/>
    <w:rsid w:val="00D021CB"/>
    <w:rsid w:val="00D10F1A"/>
    <w:rsid w:val="00D116F8"/>
    <w:rsid w:val="00D17596"/>
    <w:rsid w:val="00D22640"/>
    <w:rsid w:val="00D26D3A"/>
    <w:rsid w:val="00D45EE3"/>
    <w:rsid w:val="00D50618"/>
    <w:rsid w:val="00D509E9"/>
    <w:rsid w:val="00D53B1C"/>
    <w:rsid w:val="00D55696"/>
    <w:rsid w:val="00DA1B12"/>
    <w:rsid w:val="00DA54C9"/>
    <w:rsid w:val="00DA6739"/>
    <w:rsid w:val="00DA6CAE"/>
    <w:rsid w:val="00DB1A9E"/>
    <w:rsid w:val="00DB31D6"/>
    <w:rsid w:val="00DB4005"/>
    <w:rsid w:val="00DC1C15"/>
    <w:rsid w:val="00DC34EB"/>
    <w:rsid w:val="00DF1E5B"/>
    <w:rsid w:val="00DF2275"/>
    <w:rsid w:val="00DF3F5E"/>
    <w:rsid w:val="00DF5653"/>
    <w:rsid w:val="00E0596E"/>
    <w:rsid w:val="00E06F66"/>
    <w:rsid w:val="00E20CFF"/>
    <w:rsid w:val="00E356E5"/>
    <w:rsid w:val="00E36F81"/>
    <w:rsid w:val="00E45765"/>
    <w:rsid w:val="00E5098C"/>
    <w:rsid w:val="00E60213"/>
    <w:rsid w:val="00E661B2"/>
    <w:rsid w:val="00E72A44"/>
    <w:rsid w:val="00E74D29"/>
    <w:rsid w:val="00E83C74"/>
    <w:rsid w:val="00E83CEE"/>
    <w:rsid w:val="00E91F18"/>
    <w:rsid w:val="00E9226D"/>
    <w:rsid w:val="00E9741D"/>
    <w:rsid w:val="00EA416C"/>
    <w:rsid w:val="00EA5941"/>
    <w:rsid w:val="00EB60CE"/>
    <w:rsid w:val="00EB7D53"/>
    <w:rsid w:val="00EE3146"/>
    <w:rsid w:val="00EF15EF"/>
    <w:rsid w:val="00EF50BB"/>
    <w:rsid w:val="00EF53FF"/>
    <w:rsid w:val="00F00192"/>
    <w:rsid w:val="00F01DF6"/>
    <w:rsid w:val="00F0340D"/>
    <w:rsid w:val="00F059A6"/>
    <w:rsid w:val="00F23756"/>
    <w:rsid w:val="00F2523A"/>
    <w:rsid w:val="00F2531D"/>
    <w:rsid w:val="00F25FFA"/>
    <w:rsid w:val="00F310D2"/>
    <w:rsid w:val="00F36F3D"/>
    <w:rsid w:val="00F477BD"/>
    <w:rsid w:val="00F53491"/>
    <w:rsid w:val="00F65A1C"/>
    <w:rsid w:val="00F66F50"/>
    <w:rsid w:val="00F671D4"/>
    <w:rsid w:val="00F82FF8"/>
    <w:rsid w:val="00F8330D"/>
    <w:rsid w:val="00F84305"/>
    <w:rsid w:val="00F8485C"/>
    <w:rsid w:val="00F87149"/>
    <w:rsid w:val="00F87FFE"/>
    <w:rsid w:val="00F954C9"/>
    <w:rsid w:val="00FA1CEC"/>
    <w:rsid w:val="00FA4CF0"/>
    <w:rsid w:val="00FA61AA"/>
    <w:rsid w:val="00FA69A4"/>
    <w:rsid w:val="00FB1279"/>
    <w:rsid w:val="00FB1495"/>
    <w:rsid w:val="00FD086A"/>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8DA69"/>
  <w15:docId w15:val="{91A8C280-CB82-4727-BC58-1C988716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EF"/>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style>
  <w:style w:type="paragraph" w:styleId="ListNumber2">
    <w:name w:val="List Number 2"/>
    <w:basedOn w:val="Normal"/>
    <w:uiPriority w:val="99"/>
    <w:rsid w:val="00005CAA"/>
    <w:pPr>
      <w:numPr>
        <w:ilvl w:val="1"/>
        <w:numId w:val="5"/>
      </w:numPr>
      <w:ind w:left="738"/>
    </w:pPr>
  </w:style>
  <w:style w:type="paragraph" w:styleId="ListNumber3">
    <w:name w:val="List Number 3"/>
    <w:basedOn w:val="Normal"/>
    <w:uiPriority w:val="99"/>
    <w:rsid w:val="00005CAA"/>
    <w:pPr>
      <w:numPr>
        <w:ilvl w:val="2"/>
        <w:numId w:val="5"/>
      </w:numPr>
      <w:ind w:left="1107"/>
    </w:pPr>
  </w:style>
  <w:style w:type="paragraph" w:styleId="ListNumber4">
    <w:name w:val="List Number 4"/>
    <w:basedOn w:val="Normal"/>
    <w:uiPriority w:val="99"/>
    <w:rsid w:val="00005CAA"/>
    <w:pPr>
      <w:numPr>
        <w:ilvl w:val="3"/>
        <w:numId w:val="5"/>
      </w:numPr>
      <w:ind w:left="1476"/>
    </w:pPr>
  </w:style>
  <w:style w:type="paragraph" w:styleId="ListNumber5">
    <w:name w:val="List Number 5"/>
    <w:basedOn w:val="Normal"/>
    <w:uiPriority w:val="99"/>
    <w:rsid w:val="00005CAA"/>
    <w:pPr>
      <w:numPr>
        <w:ilvl w:val="4"/>
        <w:numId w:val="5"/>
      </w:numPr>
      <w:ind w:left="1845"/>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styleId="BodyText">
    <w:name w:val="Body Text"/>
    <w:basedOn w:val="Normal"/>
    <w:link w:val="BodyTextChar"/>
    <w:uiPriority w:val="99"/>
    <w:rsid w:val="00572D7B"/>
    <w:pPr>
      <w:widowControl w:val="0"/>
      <w:autoSpaceDE w:val="0"/>
      <w:autoSpaceDN w:val="0"/>
      <w:adjustRightInd w:val="0"/>
      <w:spacing w:after="0" w:line="240" w:lineRule="auto"/>
      <w:jc w:val="both"/>
    </w:pPr>
    <w:rPr>
      <w:rFonts w:ascii="Times New Roman" w:eastAsia="Times New Roman" w:hAnsi="Times New Roman"/>
      <w:szCs w:val="24"/>
      <w:lang w:val="en-GB"/>
    </w:rPr>
  </w:style>
  <w:style w:type="character" w:customStyle="1" w:styleId="BodyTextChar">
    <w:name w:val="Body Text Char"/>
    <w:basedOn w:val="DefaultParagraphFont"/>
    <w:link w:val="BodyText"/>
    <w:uiPriority w:val="99"/>
    <w:rsid w:val="00572D7B"/>
    <w:rPr>
      <w:rFonts w:ascii="Times New Roman" w:eastAsia="Times New Roman" w:hAnsi="Times New Roman"/>
      <w:sz w:val="22"/>
      <w:szCs w:val="24"/>
      <w:lang w:val="en-GB" w:eastAsia="en-US"/>
    </w:rPr>
  </w:style>
  <w:style w:type="paragraph" w:customStyle="1" w:styleId="Default">
    <w:name w:val="Default"/>
    <w:rsid w:val="002F15B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4e981c8fc3522853c5abc01b8ced207a">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8a76fc9c8bc58f48fb853b16547cc7ba"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 xmlns="344c6e69-c594-4ca4-b341-09ae9dfc1422" xsi:nil="true"/>
    <Function xmlns="344c6e69-c594-4ca4-b341-09ae9dfc1422">International</Function>
    <IconOverlay xmlns="http://schemas.microsoft.com/sharepoint/v4" xsi:nil="true"/>
    <DocumentDescription xmlns="344c6e69-c594-4ca4-b341-09ae9dfc1422" xsi:nil="true"/>
    <RecordNumber xmlns="344c6e69-c594-4ca4-b341-09ae9dfc1422">002052976</RecordNumber>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8B2-AD03-4B7F-BBD7-6442DAE72DF7}">
  <ds:schemaRefs>
    <ds:schemaRef ds:uri="http://schemas.microsoft.com/sharepoint/events"/>
  </ds:schemaRefs>
</ds:datastoreItem>
</file>

<file path=customXml/itemProps2.xml><?xml version="1.0" encoding="utf-8"?>
<ds:datastoreItem xmlns:ds="http://schemas.openxmlformats.org/officeDocument/2006/customXml" ds:itemID="{D04E912F-71EA-4017-AF9A-E3913777CB7F}">
  <ds:schemaRefs>
    <ds:schemaRef ds:uri="http://schemas.microsoft.com/office/2006/metadata/customXsn"/>
  </ds:schemaRefs>
</ds:datastoreItem>
</file>

<file path=customXml/itemProps3.xml><?xml version="1.0" encoding="utf-8"?>
<ds:datastoreItem xmlns:ds="http://schemas.openxmlformats.org/officeDocument/2006/customXml" ds:itemID="{1A6A33D4-9E5B-46A8-A7D7-AC0EE1C2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5.xml><?xml version="1.0" encoding="utf-8"?>
<ds:datastoreItem xmlns:ds="http://schemas.openxmlformats.org/officeDocument/2006/customXml" ds:itemID="{9BAD3DB7-147D-407B-B034-A63C38F3EB9D}">
  <ds:schemaRefs>
    <ds:schemaRef ds:uri="http://schemas.microsoft.com/office/2006/metadata/properties"/>
    <ds:schemaRef ds:uri="344c6e69-c594-4ca4-b341-09ae9dfc1422"/>
    <ds:schemaRef ds:uri="http://schemas.microsoft.com/sharepoint/v4"/>
  </ds:schemaRefs>
</ds:datastoreItem>
</file>

<file path=customXml/itemProps6.xml><?xml version="1.0" encoding="utf-8"?>
<ds:datastoreItem xmlns:ds="http://schemas.openxmlformats.org/officeDocument/2006/customXml" ds:itemID="{EC364994-D1E8-4CE1-843E-5AE2494E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Agenda Item - Taxonomy of Waterbirds</vt:lpstr>
    </vt:vector>
  </TitlesOfParts>
  <Company>DEWHA</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 Taxonomy of Waterbirds</dc:title>
  <dc:creator>MSS</dc:creator>
  <cp:lastModifiedBy>Lew Young</cp:lastModifiedBy>
  <cp:revision>4</cp:revision>
  <dcterms:created xsi:type="dcterms:W3CDTF">2019-01-15T11:53:00Z</dcterms:created>
  <dcterms:modified xsi:type="dcterms:W3CDTF">2019-01-17T02:25:00Z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{b54f6dc4-456e-4200-bb17-553195051729}</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RecordPoint_RecordNumberSubmitted">
    <vt:lpwstr>002052976</vt:lpwstr>
  </property>
  <property fmtid="{D5CDD505-2E9C-101B-9397-08002B2CF9AE}" pid="9" name="RecordPoint_SubmissionCompleted">
    <vt:lpwstr>2018-08-20T08:42:49.2471911+10:00</vt:lpwstr>
  </property>
</Properties>
</file>